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6" w:lineRule="auto" w:before="92"/>
        <w:ind w:left="2793" w:right="690" w:hanging="1380"/>
        <w:jc w:val="left"/>
        <w:rPr>
          <w:rFonts w:ascii="华文中宋" w:eastAsia="华文中宋" w:hint="eastAsia"/>
          <w:sz w:val="44"/>
        </w:rPr>
      </w:pPr>
      <w:r>
        <w:rPr>
          <w:rFonts w:ascii="华文中宋" w:eastAsia="华文中宋" w:hint="eastAsia"/>
          <w:sz w:val="44"/>
        </w:rPr>
        <w:t>运城市口腔卫生学校附属口腔医院2020 年度部门决算</w:t>
      </w:r>
    </w:p>
    <w:p>
      <w:pPr>
        <w:pStyle w:val="BodyText"/>
        <w:rPr>
          <w:rFonts w:ascii="华文中宋"/>
          <w:sz w:val="20"/>
        </w:rPr>
      </w:pPr>
    </w:p>
    <w:p>
      <w:pPr>
        <w:spacing w:before="212"/>
        <w:ind w:left="4253" w:right="3537" w:firstLine="0"/>
        <w:jc w:val="center"/>
        <w:rPr>
          <w:rFonts w:ascii="华文中宋" w:eastAsia="华文中宋" w:hint="eastAsia"/>
          <w:sz w:val="44"/>
        </w:rPr>
      </w:pPr>
      <w:r>
        <w:rPr>
          <w:rFonts w:ascii="华文中宋" w:eastAsia="华文中宋" w:hint="eastAsia"/>
          <w:sz w:val="44"/>
        </w:rPr>
        <w:t>目录</w:t>
      </w:r>
    </w:p>
    <w:p>
      <w:pPr>
        <w:pStyle w:val="BodyText"/>
        <w:tabs>
          <w:tab w:pos="2359" w:val="left" w:leader="none"/>
        </w:tabs>
        <w:spacing w:line="350" w:lineRule="auto" w:before="82"/>
        <w:ind w:left="760" w:right="5385"/>
      </w:pPr>
      <w:r>
        <w:rPr>
          <w:rFonts w:ascii="黑体" w:eastAsia="黑体" w:hint="eastAsia"/>
        </w:rPr>
        <w:t>第一部分</w:t>
        <w:tab/>
        <w:t>概 况 </w:t>
      </w:r>
      <w:r>
        <w:rPr/>
        <w:t>一、本部门职责 二、机构设置情</w:t>
      </w:r>
      <w:r>
        <w:rPr>
          <w:spacing w:val="-16"/>
        </w:rPr>
        <w:t>况</w:t>
      </w:r>
    </w:p>
    <w:p>
      <w:pPr>
        <w:pStyle w:val="BodyText"/>
        <w:tabs>
          <w:tab w:pos="2359" w:val="left" w:leader="none"/>
        </w:tabs>
        <w:spacing w:before="4"/>
        <w:ind w:left="760"/>
        <w:rPr>
          <w:rFonts w:ascii="黑体" w:eastAsia="黑体" w:hint="eastAsia"/>
        </w:rPr>
      </w:pPr>
      <w:r>
        <w:rPr>
          <w:rFonts w:ascii="黑体" w:eastAsia="黑体" w:hint="eastAsia"/>
        </w:rPr>
        <w:t>第二部分</w:t>
        <w:tab/>
        <w:t>2020</w:t>
      </w:r>
      <w:r>
        <w:rPr>
          <w:rFonts w:ascii="黑体" w:eastAsia="黑体" w:hint="eastAsia"/>
          <w:spacing w:val="-83"/>
        </w:rPr>
        <w:t> </w:t>
      </w:r>
      <w:r>
        <w:rPr>
          <w:rFonts w:ascii="黑体" w:eastAsia="黑体" w:hint="eastAsia"/>
        </w:rPr>
        <w:t>年度部门决算报表</w:t>
      </w:r>
    </w:p>
    <w:p>
      <w:pPr>
        <w:pStyle w:val="BodyText"/>
        <w:spacing w:line="350" w:lineRule="auto" w:before="190"/>
        <w:ind w:left="760" w:right="4744"/>
      </w:pPr>
      <w:r>
        <w:rPr>
          <w:spacing w:val="-2"/>
        </w:rPr>
        <w:t>一、收入支出决算总表</w:t>
      </w:r>
      <w:r>
        <w:rPr/>
        <w:t>二、收入决算表</w:t>
      </w:r>
    </w:p>
    <w:p>
      <w:pPr>
        <w:pStyle w:val="BodyText"/>
        <w:spacing w:before="3"/>
        <w:ind w:left="760"/>
      </w:pPr>
      <w:r>
        <w:rPr>
          <w:w w:val="95"/>
        </w:rPr>
        <w:t>三、支出决算表</w:t>
      </w:r>
    </w:p>
    <w:p>
      <w:pPr>
        <w:pStyle w:val="BodyText"/>
        <w:spacing w:before="190"/>
        <w:ind w:left="760"/>
      </w:pPr>
      <w:r>
        <w:rPr/>
        <w:t>四、财政拨款收入支出决算总表</w:t>
      </w:r>
    </w:p>
    <w:p>
      <w:pPr>
        <w:pStyle w:val="BodyText"/>
        <w:spacing w:line="350" w:lineRule="auto" w:before="190"/>
        <w:ind w:left="760" w:right="1545"/>
      </w:pPr>
      <w:r>
        <w:rPr/>
        <w:t>五、一般公共预算财政拨款支出决算表（一</w:t>
      </w:r>
      <w:r>
        <w:rPr>
          <w:spacing w:val="-12"/>
        </w:rPr>
        <w:t>） </w:t>
      </w:r>
      <w:r>
        <w:rPr>
          <w:w w:val="95"/>
        </w:rPr>
        <w:t>六、一般公共预算财政拨款支出决算表（二</w:t>
      </w:r>
      <w:r>
        <w:rPr>
          <w:spacing w:val="-12"/>
          <w:w w:val="95"/>
        </w:rPr>
        <w:t>）</w:t>
      </w:r>
    </w:p>
    <w:p>
      <w:pPr>
        <w:pStyle w:val="BodyText"/>
        <w:spacing w:line="350" w:lineRule="auto" w:before="3"/>
        <w:ind w:left="760" w:right="585"/>
      </w:pPr>
      <w:r>
        <w:rPr>
          <w:spacing w:val="-1"/>
        </w:rPr>
        <w:t>七、一般公共预算财政拨款“三公”经费支出决算表</w:t>
      </w:r>
      <w:r>
        <w:rPr/>
        <w:t>八、政府性基金预算财政拨款收入支出决算表</w:t>
      </w:r>
    </w:p>
    <w:p>
      <w:pPr>
        <w:pStyle w:val="BodyText"/>
        <w:spacing w:line="350" w:lineRule="auto" w:before="3"/>
        <w:ind w:left="760" w:right="1864"/>
      </w:pPr>
      <w:r>
        <w:rPr/>
        <w:t>九、国有资本经营预算财政拨款支出决算表十、部门决算公开相关信息统计表</w:t>
      </w:r>
    </w:p>
    <w:p>
      <w:pPr>
        <w:pStyle w:val="BodyText"/>
        <w:tabs>
          <w:tab w:pos="2359" w:val="left" w:leader="none"/>
        </w:tabs>
        <w:spacing w:before="2"/>
        <w:ind w:left="760"/>
        <w:rPr>
          <w:rFonts w:ascii="黑体" w:eastAsia="黑体" w:hint="eastAsia"/>
        </w:rPr>
      </w:pPr>
      <w:r>
        <w:rPr>
          <w:rFonts w:ascii="黑体" w:eastAsia="黑体" w:hint="eastAsia"/>
        </w:rPr>
        <w:t>第三部分</w:t>
        <w:tab/>
        <w:t>2020</w:t>
      </w:r>
      <w:r>
        <w:rPr>
          <w:rFonts w:ascii="黑体" w:eastAsia="黑体" w:hint="eastAsia"/>
          <w:spacing w:val="-83"/>
        </w:rPr>
        <w:t> </w:t>
      </w:r>
      <w:r>
        <w:rPr>
          <w:rFonts w:ascii="黑体" w:eastAsia="黑体" w:hint="eastAsia"/>
        </w:rPr>
        <w:t>年度部门决算情况说明</w:t>
      </w:r>
    </w:p>
    <w:p>
      <w:pPr>
        <w:pStyle w:val="BodyText"/>
        <w:spacing w:line="350" w:lineRule="auto" w:before="190"/>
        <w:ind w:left="760" w:right="3465"/>
      </w:pPr>
      <w:r>
        <w:rPr>
          <w:spacing w:val="-1"/>
        </w:rPr>
        <w:t>一、收入支出决算总体情况说明</w:t>
      </w:r>
      <w:r>
        <w:rPr/>
        <w:t>二、收入决算情况说明</w:t>
      </w:r>
    </w:p>
    <w:p>
      <w:pPr>
        <w:pStyle w:val="BodyText"/>
        <w:spacing w:before="3"/>
        <w:ind w:left="760"/>
      </w:pPr>
      <w:r>
        <w:rPr>
          <w:w w:val="95"/>
        </w:rPr>
        <w:t>三、支出决算情况说明</w:t>
      </w:r>
    </w:p>
    <w:p>
      <w:pPr>
        <w:pStyle w:val="BodyText"/>
        <w:spacing w:before="190"/>
        <w:ind w:left="760"/>
      </w:pPr>
      <w:r>
        <w:rPr/>
        <w:t>四、财政拨款收入支出决算总体情况说明</w:t>
      </w:r>
    </w:p>
    <w:p>
      <w:pPr>
        <w:spacing w:after="0"/>
        <w:sectPr>
          <w:type w:val="continuous"/>
          <w:pgSz w:w="11910" w:h="16840"/>
          <w:pgMar w:top="1380" w:bottom="280" w:left="1680" w:right="1520"/>
        </w:sectPr>
      </w:pPr>
    </w:p>
    <w:p>
      <w:pPr>
        <w:pStyle w:val="BodyText"/>
        <w:spacing w:line="350" w:lineRule="auto" w:before="43"/>
        <w:ind w:left="760" w:right="3465"/>
      </w:pPr>
      <w:r>
        <w:rPr/>
        <w:t>五、财政拨款收入决算情况说明六、财政拨款支出决算情况说明</w:t>
      </w:r>
    </w:p>
    <w:p>
      <w:pPr>
        <w:pStyle w:val="BodyText"/>
        <w:spacing w:before="3"/>
        <w:ind w:left="760"/>
      </w:pPr>
      <w:r>
        <w:rPr/>
        <w:t>七、一般公共预算财政拨款支出决算情况说明</w:t>
      </w:r>
    </w:p>
    <w:p>
      <w:pPr>
        <w:pStyle w:val="BodyText"/>
        <w:spacing w:before="190"/>
        <w:ind w:left="760"/>
      </w:pPr>
      <w:r>
        <w:rPr/>
        <w:t>八、一般公共预算财政拨款基本支出决算情况说明</w:t>
      </w:r>
    </w:p>
    <w:p>
      <w:pPr>
        <w:pStyle w:val="BodyText"/>
        <w:spacing w:before="190"/>
        <w:ind w:left="760"/>
      </w:pPr>
      <w:r>
        <w:rPr/>
        <w:t>九、一般公共预算财政拨款“三公”经费支出决算情况</w:t>
      </w:r>
    </w:p>
    <w:p>
      <w:pPr>
        <w:pStyle w:val="BodyText"/>
        <w:spacing w:before="190"/>
        <w:ind w:left="120"/>
      </w:pPr>
      <w:r>
        <w:rPr/>
        <w:t>说明</w:t>
      </w:r>
    </w:p>
    <w:p>
      <w:pPr>
        <w:pStyle w:val="BodyText"/>
        <w:spacing w:before="190"/>
        <w:ind w:left="760"/>
      </w:pPr>
      <w:r>
        <w:rPr/>
        <w:t>十、其他重要事项情况说明</w:t>
      </w:r>
    </w:p>
    <w:p>
      <w:pPr>
        <w:pStyle w:val="BodyText"/>
        <w:tabs>
          <w:tab w:pos="2359" w:val="left" w:leader="none"/>
        </w:tabs>
        <w:spacing w:line="350" w:lineRule="auto" w:before="190"/>
        <w:ind w:left="760" w:right="5065"/>
        <w:rPr>
          <w:rFonts w:ascii="黑体" w:eastAsia="黑体" w:hint="eastAsia"/>
        </w:rPr>
      </w:pPr>
      <w:r>
        <w:rPr>
          <w:rFonts w:ascii="黑体" w:eastAsia="黑体" w:hint="eastAsia"/>
        </w:rPr>
        <w:t>第四部分</w:t>
        <w:tab/>
        <w:t>名词解</w:t>
      </w:r>
      <w:r>
        <w:rPr>
          <w:rFonts w:ascii="黑体" w:eastAsia="黑体" w:hint="eastAsia"/>
          <w:spacing w:val="-16"/>
        </w:rPr>
        <w:t>释</w:t>
      </w:r>
      <w:r>
        <w:rPr>
          <w:rFonts w:ascii="黑体" w:eastAsia="黑体" w:hint="eastAsia"/>
        </w:rPr>
        <w:t>第五部分</w:t>
        <w:tab/>
        <w:t>附件</w:t>
      </w:r>
    </w:p>
    <w:p>
      <w:pPr>
        <w:spacing w:after="0" w:line="350" w:lineRule="auto"/>
        <w:rPr>
          <w:rFonts w:ascii="黑体" w:eastAsia="黑体" w:hint="eastAsia"/>
        </w:rPr>
        <w:sectPr>
          <w:pgSz w:w="11910" w:h="16840"/>
          <w:pgMar w:top="1540" w:bottom="280" w:left="1680" w:right="1520"/>
        </w:sectPr>
      </w:pPr>
    </w:p>
    <w:p>
      <w:pPr>
        <w:pStyle w:val="BodyText"/>
        <w:tabs>
          <w:tab w:pos="2359" w:val="left" w:leader="none"/>
        </w:tabs>
        <w:spacing w:before="43"/>
        <w:ind w:left="760"/>
        <w:rPr>
          <w:rFonts w:ascii="黑体" w:eastAsia="黑体" w:hint="eastAsia"/>
        </w:rPr>
      </w:pPr>
      <w:r>
        <w:rPr>
          <w:rFonts w:ascii="黑体" w:eastAsia="黑体" w:hint="eastAsia"/>
        </w:rPr>
        <w:t>第一部分</w:t>
        <w:tab/>
      </w:r>
      <w:r>
        <w:rPr>
          <w:rFonts w:ascii="黑体" w:eastAsia="黑体" w:hint="eastAsia"/>
          <w:w w:val="95"/>
        </w:rPr>
        <w:t>概况</w:t>
      </w:r>
    </w:p>
    <w:p>
      <w:pPr>
        <w:pStyle w:val="BodyText"/>
        <w:spacing w:before="190"/>
        <w:ind w:left="760"/>
      </w:pPr>
      <w:r>
        <w:rPr>
          <w:w w:val="95"/>
        </w:rPr>
        <w:t>一、本部门职责</w:t>
      </w:r>
    </w:p>
    <w:p>
      <w:pPr>
        <w:pStyle w:val="ListParagraph"/>
        <w:numPr>
          <w:ilvl w:val="0"/>
          <w:numId w:val="1"/>
        </w:numPr>
        <w:tabs>
          <w:tab w:pos="1083" w:val="left" w:leader="none"/>
        </w:tabs>
        <w:spacing w:line="240" w:lineRule="auto" w:before="190" w:after="0"/>
        <w:ind w:left="1082" w:right="0" w:hanging="323"/>
        <w:jc w:val="left"/>
        <w:rPr>
          <w:sz w:val="32"/>
        </w:rPr>
      </w:pPr>
      <w:r>
        <w:rPr>
          <w:sz w:val="32"/>
        </w:rPr>
        <w:t>为人民口腔健康提供医疗与护理保健服务；</w:t>
      </w:r>
    </w:p>
    <w:p>
      <w:pPr>
        <w:pStyle w:val="ListParagraph"/>
        <w:numPr>
          <w:ilvl w:val="0"/>
          <w:numId w:val="1"/>
        </w:numPr>
        <w:tabs>
          <w:tab w:pos="1083" w:val="left" w:leader="none"/>
        </w:tabs>
        <w:spacing w:line="240" w:lineRule="auto" w:before="190" w:after="0"/>
        <w:ind w:left="1082" w:right="0" w:hanging="323"/>
        <w:jc w:val="left"/>
        <w:rPr>
          <w:sz w:val="32"/>
        </w:rPr>
      </w:pPr>
      <w:r>
        <w:rPr>
          <w:sz w:val="32"/>
        </w:rPr>
        <w:t>口腔医疗与护理、医学教学、医学研究；</w:t>
      </w:r>
    </w:p>
    <w:p>
      <w:pPr>
        <w:pStyle w:val="ListParagraph"/>
        <w:numPr>
          <w:ilvl w:val="0"/>
          <w:numId w:val="1"/>
        </w:numPr>
        <w:tabs>
          <w:tab w:pos="1083" w:val="left" w:leader="none"/>
        </w:tabs>
        <w:spacing w:line="240" w:lineRule="auto" w:before="190" w:after="0"/>
        <w:ind w:left="1082" w:right="0" w:hanging="323"/>
        <w:jc w:val="left"/>
        <w:rPr>
          <w:sz w:val="32"/>
        </w:rPr>
      </w:pPr>
      <w:r>
        <w:rPr>
          <w:sz w:val="32"/>
        </w:rPr>
        <w:t>卫生医疗人员培训；</w:t>
      </w:r>
    </w:p>
    <w:p>
      <w:pPr>
        <w:pStyle w:val="ListParagraph"/>
        <w:numPr>
          <w:ilvl w:val="0"/>
          <w:numId w:val="1"/>
        </w:numPr>
        <w:tabs>
          <w:tab w:pos="1083" w:val="left" w:leader="none"/>
        </w:tabs>
        <w:spacing w:line="350" w:lineRule="auto" w:before="190" w:after="0"/>
        <w:ind w:left="760" w:right="5065" w:firstLine="0"/>
        <w:jc w:val="left"/>
        <w:rPr>
          <w:sz w:val="32"/>
        </w:rPr>
      </w:pPr>
      <w:r>
        <w:rPr>
          <w:spacing w:val="-2"/>
          <w:sz w:val="32"/>
        </w:rPr>
        <w:t>保健与健康教育。</w:t>
      </w:r>
      <w:r>
        <w:rPr>
          <w:sz w:val="32"/>
        </w:rPr>
        <w:t>二、机构设置情况</w:t>
      </w:r>
    </w:p>
    <w:p>
      <w:pPr>
        <w:pStyle w:val="BodyText"/>
        <w:spacing w:before="3"/>
        <w:ind w:left="760"/>
      </w:pPr>
      <w:r>
        <w:rPr>
          <w:spacing w:val="-12"/>
        </w:rPr>
        <w:t>在编人数 </w:t>
      </w:r>
      <w:r>
        <w:rPr/>
        <w:t>68</w:t>
      </w:r>
      <w:r>
        <w:rPr>
          <w:spacing w:val="-16"/>
        </w:rPr>
        <w:t> 人，退休人员 </w:t>
      </w:r>
      <w:r>
        <w:rPr/>
        <w:t>11</w:t>
      </w:r>
      <w:r>
        <w:rPr>
          <w:spacing w:val="-16"/>
        </w:rPr>
        <w:t> 人。内设科室 </w:t>
      </w:r>
      <w:r>
        <w:rPr/>
        <w:t>19</w:t>
      </w:r>
      <w:r>
        <w:rPr>
          <w:spacing w:val="-16"/>
        </w:rPr>
        <w:t> 个，即</w:t>
      </w:r>
    </w:p>
    <w:p>
      <w:pPr>
        <w:pStyle w:val="BodyText"/>
        <w:spacing w:line="350" w:lineRule="auto" w:before="189"/>
        <w:ind w:left="120" w:right="118"/>
      </w:pPr>
      <w:r>
        <w:rPr>
          <w:spacing w:val="-7"/>
        </w:rPr>
        <w:t>办公室、医务科、财务室、信息科、设备科、后勤等 </w:t>
      </w:r>
      <w:r>
        <w:rPr/>
        <w:t>6</w:t>
      </w:r>
      <w:r>
        <w:rPr>
          <w:spacing w:val="-28"/>
        </w:rPr>
        <w:t> 个行</w:t>
      </w:r>
      <w:r>
        <w:rPr>
          <w:spacing w:val="-17"/>
        </w:rPr>
        <w:t>政科室；口腔全科、口腔内科、口腔颌面外科、口腔修复科、</w:t>
      </w:r>
      <w:r>
        <w:rPr>
          <w:spacing w:val="-4"/>
        </w:rPr>
        <w:t>种植中心、口腔正畸科、牙周粘膜科、儿童口腔科、护理部</w:t>
      </w:r>
      <w:r>
        <w:rPr>
          <w:spacing w:val="-45"/>
        </w:rPr>
        <w:t>等 </w:t>
      </w:r>
      <w:r>
        <w:rPr/>
        <w:t>9</w:t>
      </w:r>
      <w:r>
        <w:rPr>
          <w:spacing w:val="-17"/>
        </w:rPr>
        <w:t> 个临床科室；口腔颌面影像科、消毒供应中心、化验室、</w:t>
      </w:r>
    </w:p>
    <w:p>
      <w:pPr>
        <w:pStyle w:val="BodyText"/>
        <w:spacing w:before="6"/>
        <w:ind w:left="120"/>
      </w:pPr>
      <w:r>
        <w:rPr/>
        <w:t>义齿制作中心等 4 个医技科室。</w:t>
      </w:r>
    </w:p>
    <w:p>
      <w:pPr>
        <w:pStyle w:val="BodyText"/>
        <w:tabs>
          <w:tab w:pos="2359" w:val="left" w:leader="none"/>
        </w:tabs>
        <w:spacing w:before="190"/>
        <w:ind w:left="760"/>
        <w:rPr>
          <w:rFonts w:ascii="黑体" w:eastAsia="黑体" w:hint="eastAsia"/>
        </w:rPr>
      </w:pPr>
      <w:r>
        <w:rPr>
          <w:rFonts w:ascii="黑体" w:eastAsia="黑体" w:hint="eastAsia"/>
        </w:rPr>
        <w:t>第二部分</w:t>
        <w:tab/>
        <w:t>2020</w:t>
      </w:r>
      <w:r>
        <w:rPr>
          <w:rFonts w:ascii="黑体" w:eastAsia="黑体" w:hint="eastAsia"/>
          <w:spacing w:val="-83"/>
        </w:rPr>
        <w:t> </w:t>
      </w:r>
      <w:r>
        <w:rPr>
          <w:rFonts w:ascii="黑体" w:eastAsia="黑体" w:hint="eastAsia"/>
        </w:rPr>
        <w:t>年度部门决算报表</w:t>
      </w:r>
    </w:p>
    <w:p>
      <w:pPr>
        <w:pStyle w:val="BodyText"/>
        <w:spacing w:line="350" w:lineRule="auto" w:before="190"/>
        <w:ind w:left="760" w:right="4744"/>
      </w:pPr>
      <w:r>
        <w:rPr>
          <w:spacing w:val="-2"/>
        </w:rPr>
        <w:t>一、收入支出决算总表</w:t>
      </w:r>
      <w:r>
        <w:rPr/>
        <w:t>二、收入决算表</w:t>
      </w:r>
    </w:p>
    <w:p>
      <w:pPr>
        <w:pStyle w:val="BodyText"/>
        <w:spacing w:before="3"/>
        <w:ind w:left="760"/>
      </w:pPr>
      <w:r>
        <w:rPr>
          <w:w w:val="95"/>
        </w:rPr>
        <w:t>三、支出决算表</w:t>
      </w:r>
    </w:p>
    <w:p>
      <w:pPr>
        <w:pStyle w:val="BodyText"/>
        <w:spacing w:before="190"/>
        <w:ind w:left="760"/>
      </w:pPr>
      <w:r>
        <w:rPr/>
        <w:t>四、财政拨款收入支出决算总表</w:t>
      </w:r>
    </w:p>
    <w:p>
      <w:pPr>
        <w:pStyle w:val="BodyText"/>
        <w:spacing w:line="350" w:lineRule="auto" w:before="190"/>
        <w:ind w:left="760" w:right="1545"/>
      </w:pPr>
      <w:r>
        <w:rPr/>
        <w:t>五、一般公共预算财政拨款支出决算表（一</w:t>
      </w:r>
      <w:r>
        <w:rPr>
          <w:spacing w:val="-12"/>
        </w:rPr>
        <w:t>） </w:t>
      </w:r>
      <w:r>
        <w:rPr>
          <w:w w:val="95"/>
        </w:rPr>
        <w:t>六、一般公共预算财政拨款支出决算表（二</w:t>
      </w:r>
      <w:r>
        <w:rPr>
          <w:spacing w:val="-12"/>
          <w:w w:val="95"/>
        </w:rPr>
        <w:t>）</w:t>
      </w:r>
    </w:p>
    <w:p>
      <w:pPr>
        <w:pStyle w:val="BodyText"/>
        <w:spacing w:line="350" w:lineRule="auto" w:before="3"/>
        <w:ind w:left="760" w:right="585"/>
      </w:pPr>
      <w:r>
        <w:rPr>
          <w:spacing w:val="-1"/>
        </w:rPr>
        <w:t>七、一般公共预算财政拨款“三公”经费支出决算表</w:t>
      </w:r>
      <w:r>
        <w:rPr/>
        <w:t>八、政府性基金预算财政拨款收入支出决算表</w:t>
      </w:r>
    </w:p>
    <w:p>
      <w:pPr>
        <w:pStyle w:val="BodyText"/>
        <w:spacing w:before="3"/>
        <w:ind w:left="760"/>
      </w:pPr>
      <w:r>
        <w:rPr/>
        <w:t>九、国有资本经营预算财政拨款支出决算表</w:t>
      </w:r>
    </w:p>
    <w:p>
      <w:pPr>
        <w:spacing w:after="0"/>
        <w:sectPr>
          <w:pgSz w:w="11910" w:h="16840"/>
          <w:pgMar w:top="1540" w:bottom="280" w:left="1680" w:right="1520"/>
        </w:sectPr>
      </w:pPr>
    </w:p>
    <w:p>
      <w:pPr>
        <w:pStyle w:val="BodyText"/>
        <w:spacing w:before="43"/>
        <w:ind w:left="760"/>
      </w:pPr>
      <w:r>
        <w:rPr/>
        <w:t>十、部门决算公开相关信息统计表</w:t>
      </w:r>
    </w:p>
    <w:p>
      <w:pPr>
        <w:spacing w:after="0"/>
        <w:sectPr>
          <w:pgSz w:w="11910" w:h="16840"/>
          <w:pgMar w:top="1540" w:bottom="280" w:left="1680" w:right="1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16"/>
        </w:rPr>
      </w:pPr>
    </w:p>
    <w:p>
      <w:pPr>
        <w:pStyle w:val="BodyText"/>
        <w:ind w:left="1973"/>
        <w:rPr>
          <w:rFonts w:ascii="Times New Roman"/>
          <w:sz w:val="20"/>
        </w:rPr>
      </w:pPr>
      <w:r>
        <w:rPr>
          <w:rFonts w:ascii="Times New Roman"/>
          <w:sz w:val="20"/>
        </w:rPr>
        <w:drawing>
          <wp:inline distT="0" distB="0" distL="0" distR="0">
            <wp:extent cx="6300579" cy="4606289"/>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300579" cy="4606289"/>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920"/>
        <w:rPr>
          <w:rFonts w:ascii="Times New Roman"/>
          <w:sz w:val="20"/>
        </w:rPr>
      </w:pPr>
      <w:r>
        <w:rPr>
          <w:rFonts w:ascii="Times New Roman"/>
          <w:sz w:val="20"/>
        </w:rPr>
        <w:drawing>
          <wp:inline distT="0" distB="0" distL="0" distR="0">
            <wp:extent cx="7160281" cy="211455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160281" cy="211455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p>
      <w:pPr>
        <w:pStyle w:val="BodyText"/>
        <w:ind w:left="970"/>
        <w:rPr>
          <w:rFonts w:ascii="Times New Roman"/>
          <w:sz w:val="20"/>
        </w:rPr>
      </w:pPr>
      <w:r>
        <w:rPr>
          <w:rFonts w:ascii="Times New Roman"/>
          <w:sz w:val="20"/>
        </w:rPr>
        <w:drawing>
          <wp:inline distT="0" distB="0" distL="0" distR="0">
            <wp:extent cx="7741700" cy="256032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741700" cy="256032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0"/>
        </w:rPr>
      </w:pPr>
    </w:p>
    <w:p>
      <w:pPr>
        <w:pStyle w:val="BodyText"/>
        <w:ind w:left="1534"/>
        <w:rPr>
          <w:rFonts w:ascii="Times New Roman"/>
          <w:sz w:val="20"/>
        </w:rPr>
      </w:pPr>
      <w:r>
        <w:rPr>
          <w:rFonts w:ascii="Times New Roman"/>
          <w:sz w:val="20"/>
        </w:rPr>
        <w:drawing>
          <wp:inline distT="0" distB="0" distL="0" distR="0">
            <wp:extent cx="6896399" cy="460629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896399" cy="460629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BodyText"/>
        <w:ind w:left="1982"/>
        <w:rPr>
          <w:rFonts w:ascii="Times New Roman"/>
          <w:sz w:val="20"/>
        </w:rPr>
      </w:pPr>
      <w:r>
        <w:rPr>
          <w:rFonts w:ascii="Times New Roman"/>
          <w:sz w:val="20"/>
        </w:rPr>
        <w:drawing>
          <wp:inline distT="0" distB="0" distL="0" distR="0">
            <wp:extent cx="6522691" cy="286512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6522691" cy="286512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BodyText"/>
        <w:ind w:left="1025"/>
        <w:rPr>
          <w:rFonts w:ascii="Times New Roman"/>
          <w:sz w:val="20"/>
        </w:rPr>
      </w:pPr>
      <w:r>
        <w:rPr>
          <w:rFonts w:ascii="Times New Roman"/>
          <w:sz w:val="20"/>
        </w:rPr>
        <w:drawing>
          <wp:inline distT="0" distB="0" distL="0" distR="0">
            <wp:extent cx="7297403" cy="217170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297403" cy="217170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918"/>
        <w:rPr>
          <w:rFonts w:ascii="Times New Roman"/>
          <w:sz w:val="20"/>
        </w:rPr>
      </w:pPr>
      <w:r>
        <w:rPr>
          <w:rFonts w:ascii="Times New Roman"/>
          <w:sz w:val="20"/>
        </w:rPr>
        <w:drawing>
          <wp:inline distT="0" distB="0" distL="0" distR="0">
            <wp:extent cx="7351961" cy="1376172"/>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7351961" cy="1376172"/>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pStyle w:val="BodyText"/>
        <w:ind w:left="676"/>
        <w:rPr>
          <w:rFonts w:ascii="Times New Roman"/>
          <w:sz w:val="20"/>
        </w:rPr>
      </w:pPr>
      <w:r>
        <w:rPr>
          <w:rFonts w:ascii="Times New Roman"/>
          <w:sz w:val="20"/>
        </w:rPr>
        <w:drawing>
          <wp:inline distT="0" distB="0" distL="0" distR="0">
            <wp:extent cx="5267768" cy="1575815"/>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267768" cy="157581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pStyle w:val="BodyText"/>
        <w:spacing w:line="350" w:lineRule="auto" w:before="55"/>
        <w:ind w:left="100" w:right="260" w:firstLine="640"/>
      </w:pPr>
      <w:r>
        <w:rPr>
          <w:spacing w:val="-10"/>
          <w:w w:val="95"/>
        </w:rPr>
        <w:t>说明：运城市口腔卫生学校附属口腔医院没有使用政府性基金预算安排的收入和支出，故本表无   </w:t>
      </w:r>
      <w:r>
        <w:rPr>
          <w:spacing w:val="-10"/>
        </w:rPr>
        <w:t>数据。</w:t>
      </w:r>
    </w:p>
    <w:p>
      <w:pPr>
        <w:spacing w:after="0" w:line="350" w:lineRule="auto"/>
        <w:sectPr>
          <w:pgSz w:w="16840" w:h="11910" w:orient="landscape"/>
          <w:pgMar w:top="1100" w:bottom="280" w:left="13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p>
      <w:pPr>
        <w:pStyle w:val="BodyText"/>
        <w:ind w:left="1827"/>
        <w:rPr>
          <w:sz w:val="20"/>
        </w:rPr>
      </w:pPr>
      <w:r>
        <w:rPr>
          <w:sz w:val="20"/>
        </w:rPr>
        <w:drawing>
          <wp:inline distT="0" distB="0" distL="0" distR="0">
            <wp:extent cx="3821391" cy="167640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3821391" cy="16764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p>
      <w:pPr>
        <w:pStyle w:val="BodyText"/>
        <w:spacing w:before="54"/>
        <w:ind w:left="740"/>
      </w:pPr>
      <w:r>
        <w:rPr>
          <w:spacing w:val="-17"/>
        </w:rPr>
        <w:t>说明：运城市口腔卫生学校附属口腔医院没有使用国有资本经营预算安排的支出，故本表无数据。</w:t>
      </w:r>
    </w:p>
    <w:p>
      <w:pPr>
        <w:spacing w:after="0"/>
        <w:sectPr>
          <w:pgSz w:w="16840" w:h="11910" w:orient="landscape"/>
          <w:pgMar w:top="1100" w:bottom="280" w:left="134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p>
      <w:pPr>
        <w:pStyle w:val="BodyText"/>
        <w:ind w:left="3241"/>
        <w:rPr>
          <w:rFonts w:ascii="Times New Roman"/>
          <w:sz w:val="20"/>
        </w:rPr>
      </w:pPr>
      <w:r>
        <w:rPr>
          <w:rFonts w:ascii="Times New Roman"/>
          <w:sz w:val="20"/>
        </w:rPr>
        <w:drawing>
          <wp:inline distT="0" distB="0" distL="0" distR="0">
            <wp:extent cx="4488188" cy="4160520"/>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4488188" cy="416052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340" w:right="1180"/>
        </w:sectPr>
      </w:pPr>
    </w:p>
    <w:p>
      <w:pPr>
        <w:pStyle w:val="BodyText"/>
        <w:tabs>
          <w:tab w:pos="2363" w:val="left" w:leader="none"/>
        </w:tabs>
        <w:spacing w:before="43"/>
        <w:ind w:left="763"/>
        <w:rPr>
          <w:rFonts w:ascii="黑体" w:eastAsia="黑体" w:hint="eastAsia"/>
        </w:rPr>
      </w:pPr>
      <w:r>
        <w:rPr>
          <w:rFonts w:ascii="黑体" w:eastAsia="黑体" w:hint="eastAsia"/>
        </w:rPr>
        <w:t>第三部分</w:t>
        <w:tab/>
        <w:t>2020</w:t>
      </w:r>
      <w:r>
        <w:rPr>
          <w:rFonts w:ascii="黑体" w:eastAsia="黑体" w:hint="eastAsia"/>
          <w:spacing w:val="-81"/>
        </w:rPr>
        <w:t> </w:t>
      </w:r>
      <w:r>
        <w:rPr>
          <w:rFonts w:ascii="黑体" w:eastAsia="黑体" w:hint="eastAsia"/>
        </w:rPr>
        <w:t>年度部门决算情况说明</w:t>
      </w:r>
    </w:p>
    <w:p>
      <w:pPr>
        <w:pStyle w:val="Heading1"/>
        <w:spacing w:before="190"/>
      </w:pPr>
      <w:r>
        <w:rPr/>
        <w:t>一、收入支出决算总体情况说明</w:t>
      </w:r>
    </w:p>
    <w:p>
      <w:pPr>
        <w:pStyle w:val="BodyText"/>
        <w:spacing w:before="190"/>
        <w:ind w:left="763"/>
      </w:pPr>
      <w:r>
        <w:rPr/>
        <w:t>2020</w:t>
      </w:r>
      <w:r>
        <w:rPr>
          <w:spacing w:val="-22"/>
        </w:rPr>
        <w:t> 年度收入总计 </w:t>
      </w:r>
      <w:r>
        <w:rPr/>
        <w:t>4424.81</w:t>
      </w:r>
      <w:r>
        <w:rPr>
          <w:spacing w:val="-31"/>
        </w:rPr>
        <w:t> 万元、支出总计 </w:t>
      </w:r>
      <w:r>
        <w:rPr/>
        <w:t>4190.37</w:t>
      </w:r>
      <w:r>
        <w:rPr>
          <w:spacing w:val="-41"/>
        </w:rPr>
        <w:t> 万</w:t>
      </w:r>
    </w:p>
    <w:p>
      <w:pPr>
        <w:pStyle w:val="BodyText"/>
        <w:spacing w:line="350" w:lineRule="auto" w:before="190"/>
        <w:ind w:left="122" w:right="99"/>
      </w:pPr>
      <w:r>
        <w:rPr>
          <w:spacing w:val="-57"/>
        </w:rPr>
        <w:t>元。与 </w:t>
      </w:r>
      <w:r>
        <w:rPr/>
        <w:t>2019</w:t>
      </w:r>
      <w:r>
        <w:rPr>
          <w:spacing w:val="-28"/>
        </w:rPr>
        <w:t> 年相比，收入总计减少 </w:t>
      </w:r>
      <w:r>
        <w:rPr/>
        <w:t>389.77</w:t>
      </w:r>
      <w:r>
        <w:rPr>
          <w:spacing w:val="-45"/>
        </w:rPr>
        <w:t> 万元，下降 </w:t>
      </w:r>
      <w:r>
        <w:rPr/>
        <w:t>8.10%， </w:t>
      </w:r>
      <w:r>
        <w:rPr>
          <w:spacing w:val="-11"/>
        </w:rPr>
        <w:t>支出总计减少 </w:t>
      </w:r>
      <w:r>
        <w:rPr/>
        <w:t>698.72</w:t>
      </w:r>
      <w:r>
        <w:rPr>
          <w:spacing w:val="-24"/>
        </w:rPr>
        <w:t> 万元，下降 </w:t>
      </w:r>
      <w:r>
        <w:rPr/>
        <w:t>14.29%。主要原因是新冠肺炎疫情影响。</w:t>
      </w:r>
    </w:p>
    <w:p>
      <w:pPr>
        <w:pStyle w:val="Heading1"/>
        <w:spacing w:line="397" w:lineRule="exact"/>
      </w:pPr>
      <w:bookmarkStart w:name="二、收入决算情况说明" w:id="1"/>
      <w:bookmarkEnd w:id="1"/>
      <w:r>
        <w:rPr>
          <w:b w:val="0"/>
        </w:rPr>
      </w:r>
      <w:r>
        <w:rPr/>
        <w:t>二、收入决算情况说明</w:t>
      </w:r>
    </w:p>
    <w:p>
      <w:pPr>
        <w:pStyle w:val="BodyText"/>
        <w:spacing w:before="171"/>
        <w:ind w:left="763"/>
      </w:pPr>
      <w:r>
        <w:rPr/>
        <w:t>2020</w:t>
      </w:r>
      <w:r>
        <w:rPr>
          <w:spacing w:val="-22"/>
        </w:rPr>
        <w:t> 年度收入合计 </w:t>
      </w:r>
      <w:r>
        <w:rPr/>
        <w:t>4424.81</w:t>
      </w:r>
      <w:r>
        <w:rPr>
          <w:spacing w:val="-18"/>
        </w:rPr>
        <w:t> 万元，其中：财政拨款收入</w:t>
      </w:r>
    </w:p>
    <w:p>
      <w:pPr>
        <w:pStyle w:val="BodyText"/>
        <w:spacing w:line="338" w:lineRule="auto" w:before="170"/>
        <w:ind w:left="122" w:right="260"/>
        <w:jc w:val="both"/>
      </w:pPr>
      <w:r>
        <w:rPr/>
        <w:t>306.04</w:t>
      </w:r>
      <w:r>
        <w:rPr>
          <w:spacing w:val="-26"/>
        </w:rPr>
        <w:t> 万元，占比 </w:t>
      </w:r>
      <w:r>
        <w:rPr/>
        <w:t>6.92</w:t>
      </w:r>
      <w:r>
        <w:rPr>
          <w:spacing w:val="-10"/>
        </w:rPr>
        <w:t>%；上级补助收入 </w:t>
      </w:r>
      <w:r>
        <w:rPr/>
        <w:t>18.84</w:t>
      </w:r>
      <w:r>
        <w:rPr>
          <w:spacing w:val="-16"/>
        </w:rPr>
        <w:t> 万元，占比</w:t>
      </w:r>
      <w:r>
        <w:rPr>
          <w:spacing w:val="2"/>
        </w:rPr>
        <w:t>0.43</w:t>
      </w:r>
      <w:r>
        <w:rPr>
          <w:spacing w:val="-8"/>
        </w:rPr>
        <w:t>%；事业收入 </w:t>
      </w:r>
      <w:r>
        <w:rPr/>
        <w:t>4081.60</w:t>
      </w:r>
      <w:r>
        <w:rPr>
          <w:spacing w:val="-19"/>
        </w:rPr>
        <w:t> 万元，占比 </w:t>
      </w:r>
      <w:r>
        <w:rPr>
          <w:spacing w:val="2"/>
        </w:rPr>
        <w:t>92.24</w:t>
      </w:r>
      <w:r>
        <w:rPr>
          <w:spacing w:val="-9"/>
        </w:rPr>
        <w:t>%；经营收入 </w:t>
      </w:r>
      <w:r>
        <w:rPr/>
        <w:t>0 </w:t>
      </w:r>
      <w:r>
        <w:rPr>
          <w:spacing w:val="-10"/>
        </w:rPr>
        <w:t>万元，占比 </w:t>
      </w:r>
      <w:r>
        <w:rPr>
          <w:spacing w:val="4"/>
        </w:rPr>
        <w:t>0</w:t>
      </w:r>
      <w:r>
        <w:rPr>
          <w:spacing w:val="-4"/>
        </w:rPr>
        <w:t>%；附属单位上缴收入 </w:t>
      </w:r>
      <w:r>
        <w:rPr/>
        <w:t>0</w:t>
      </w:r>
      <w:r>
        <w:rPr>
          <w:spacing w:val="-20"/>
        </w:rPr>
        <w:t> 万元，占比 </w:t>
      </w:r>
      <w:r>
        <w:rPr>
          <w:spacing w:val="4"/>
        </w:rPr>
        <w:t>0</w:t>
      </w:r>
      <w:r>
        <w:rPr>
          <w:spacing w:val="3"/>
        </w:rPr>
        <w:t>%；其他</w:t>
      </w:r>
      <w:r>
        <w:rPr>
          <w:spacing w:val="-25"/>
        </w:rPr>
        <w:t>收入 </w:t>
      </w:r>
      <w:r>
        <w:rPr/>
        <w:t>18.33</w:t>
      </w:r>
      <w:r>
        <w:rPr>
          <w:spacing w:val="-25"/>
        </w:rPr>
        <w:t> 万元，占比 </w:t>
      </w:r>
      <w:r>
        <w:rPr/>
        <w:t>0.41%。</w:t>
      </w:r>
    </w:p>
    <w:p>
      <w:pPr>
        <w:pStyle w:val="Heading1"/>
        <w:spacing w:before="6"/>
      </w:pPr>
      <w:r>
        <w:rPr/>
        <w:t>三、支出决算情况说明</w:t>
      </w:r>
    </w:p>
    <w:p>
      <w:pPr>
        <w:pStyle w:val="BodyText"/>
        <w:spacing w:before="171"/>
        <w:ind w:left="763"/>
      </w:pPr>
      <w:r>
        <w:rPr/>
        <w:t>2020</w:t>
      </w:r>
      <w:r>
        <w:rPr>
          <w:spacing w:val="5"/>
        </w:rPr>
        <w:t> 年度支出合计 </w:t>
      </w:r>
      <w:r>
        <w:rPr/>
        <w:t>4190.37</w:t>
      </w:r>
      <w:r>
        <w:rPr>
          <w:spacing w:val="-10"/>
        </w:rPr>
        <w:t> 万元， 其中： 基本支出</w:t>
      </w:r>
    </w:p>
    <w:p>
      <w:pPr>
        <w:pStyle w:val="BodyText"/>
        <w:spacing w:before="171"/>
        <w:ind w:left="122"/>
      </w:pPr>
      <w:r>
        <w:rPr/>
        <w:t>3912.66</w:t>
      </w:r>
      <w:r>
        <w:rPr>
          <w:spacing w:val="-19"/>
        </w:rPr>
        <w:t> 万元，占比 </w:t>
      </w:r>
      <w:r>
        <w:rPr>
          <w:spacing w:val="2"/>
        </w:rPr>
        <w:t>93.37</w:t>
      </w:r>
      <w:r>
        <w:rPr>
          <w:spacing w:val="-8"/>
        </w:rPr>
        <w:t>%；项目支出 </w:t>
      </w:r>
      <w:r>
        <w:rPr/>
        <w:t>277.71</w:t>
      </w:r>
      <w:r>
        <w:rPr>
          <w:spacing w:val="-9"/>
        </w:rPr>
        <w:t> 万元，占比</w:t>
      </w:r>
    </w:p>
    <w:p>
      <w:pPr>
        <w:pStyle w:val="BodyText"/>
        <w:spacing w:line="340" w:lineRule="auto" w:before="168"/>
        <w:ind w:left="122" w:right="262"/>
      </w:pPr>
      <w:r>
        <w:rPr/>
        <w:t>6.63</w:t>
      </w:r>
      <w:r>
        <w:rPr>
          <w:spacing w:val="-9"/>
        </w:rPr>
        <w:t>%；上缴上级支出 </w:t>
      </w:r>
      <w:r>
        <w:rPr/>
        <w:t>0</w:t>
      </w:r>
      <w:r>
        <w:rPr>
          <w:spacing w:val="-23"/>
        </w:rPr>
        <w:t> 万元，占比 </w:t>
      </w:r>
      <w:r>
        <w:rPr>
          <w:spacing w:val="2"/>
        </w:rPr>
        <w:t>0</w:t>
      </w:r>
      <w:r>
        <w:rPr>
          <w:spacing w:val="-11"/>
        </w:rPr>
        <w:t>%，经营支出 </w:t>
      </w:r>
      <w:r>
        <w:rPr/>
        <w:t>0</w:t>
      </w:r>
      <w:r>
        <w:rPr>
          <w:spacing w:val="-19"/>
        </w:rPr>
        <w:t> 万元， </w:t>
      </w:r>
      <w:r>
        <w:rPr>
          <w:spacing w:val="-40"/>
        </w:rPr>
        <w:t>占比 </w:t>
      </w:r>
      <w:r>
        <w:rPr/>
        <w:t>0</w:t>
      </w:r>
      <w:r>
        <w:rPr>
          <w:spacing w:val="-7"/>
        </w:rPr>
        <w:t>%,对附属单位补助支出 </w:t>
      </w:r>
      <w:r>
        <w:rPr/>
        <w:t>0</w:t>
      </w:r>
      <w:r>
        <w:rPr>
          <w:spacing w:val="-25"/>
        </w:rPr>
        <w:t> 万元，占比 </w:t>
      </w:r>
      <w:r>
        <w:rPr/>
        <w:t>0%。</w:t>
      </w:r>
    </w:p>
    <w:p>
      <w:pPr>
        <w:pStyle w:val="Heading1"/>
        <w:spacing w:line="407" w:lineRule="exact"/>
      </w:pPr>
      <w:r>
        <w:rPr/>
        <w:t>四、财政拨款收入支出决算总体情况说明</w:t>
      </w:r>
    </w:p>
    <w:p>
      <w:pPr>
        <w:pStyle w:val="BodyText"/>
        <w:spacing w:before="169"/>
        <w:ind w:left="763"/>
      </w:pPr>
      <w:r>
        <w:rPr/>
        <w:t>2020 年度财政拨款收入总计 306.04 万元、支出总计</w:t>
      </w:r>
    </w:p>
    <w:p>
      <w:pPr>
        <w:pStyle w:val="BodyText"/>
        <w:spacing w:line="338" w:lineRule="auto" w:before="171"/>
        <w:ind w:left="122" w:right="260"/>
        <w:jc w:val="both"/>
      </w:pPr>
      <w:r>
        <w:rPr/>
        <w:t>277.71</w:t>
      </w:r>
      <w:r>
        <w:rPr>
          <w:spacing w:val="-44"/>
        </w:rPr>
        <w:t> 万元。与 </w:t>
      </w:r>
      <w:r>
        <w:rPr/>
        <w:t>2019</w:t>
      </w:r>
      <w:r>
        <w:rPr>
          <w:spacing w:val="-19"/>
        </w:rPr>
        <w:t> 年相比，财政拨款收入总计减少 </w:t>
      </w:r>
      <w:r>
        <w:rPr/>
        <w:t>16.58 </w:t>
      </w:r>
      <w:r>
        <w:rPr>
          <w:spacing w:val="-21"/>
        </w:rPr>
        <w:t>万元，下降 </w:t>
      </w:r>
      <w:r>
        <w:rPr>
          <w:spacing w:val="-6"/>
        </w:rPr>
        <w:t>5.14</w:t>
      </w:r>
      <w:r>
        <w:rPr>
          <w:spacing w:val="-10"/>
        </w:rPr>
        <w:t>%，财政拨款支出总计减少 </w:t>
      </w:r>
      <w:r>
        <w:rPr/>
        <w:t>137.45</w:t>
      </w:r>
      <w:r>
        <w:rPr>
          <w:spacing w:val="-24"/>
        </w:rPr>
        <w:t> 万元，下</w:t>
      </w:r>
      <w:r>
        <w:rPr>
          <w:spacing w:val="-52"/>
        </w:rPr>
        <w:t>降 </w:t>
      </w:r>
      <w:r>
        <w:rPr/>
        <w:t>33.11%。主要原因是项目收支变动影响。</w:t>
      </w:r>
    </w:p>
    <w:p>
      <w:pPr>
        <w:pStyle w:val="Heading1"/>
        <w:spacing w:before="5"/>
      </w:pPr>
      <w:r>
        <w:rPr/>
        <w:t>五、财政拨款收入决算情况说明</w:t>
      </w:r>
    </w:p>
    <w:p>
      <w:pPr>
        <w:spacing w:after="0"/>
        <w:sectPr>
          <w:pgSz w:w="11910" w:h="16840"/>
          <w:pgMar w:top="1540" w:bottom="280" w:left="1680" w:right="1540"/>
        </w:sectPr>
      </w:pPr>
    </w:p>
    <w:p>
      <w:pPr>
        <w:pStyle w:val="BodyText"/>
        <w:spacing w:line="338" w:lineRule="auto" w:before="26"/>
        <w:ind w:left="122" w:right="260" w:firstLine="640"/>
        <w:jc w:val="both"/>
      </w:pPr>
      <w:r>
        <w:rPr/>
        <w:t>2020</w:t>
      </w:r>
      <w:r>
        <w:rPr>
          <w:spacing w:val="-13"/>
        </w:rPr>
        <w:t> 年度财政拨款收入合计 </w:t>
      </w:r>
      <w:r>
        <w:rPr/>
        <w:t>306.04</w:t>
      </w:r>
      <w:r>
        <w:rPr>
          <w:spacing w:val="-8"/>
        </w:rPr>
        <w:t> 万元，其中：一般</w:t>
      </w:r>
      <w:r>
        <w:rPr>
          <w:spacing w:val="-7"/>
        </w:rPr>
        <w:t>公共预算财政拨款收入 </w:t>
      </w:r>
      <w:r>
        <w:rPr/>
        <w:t>306.04</w:t>
      </w:r>
      <w:r>
        <w:rPr>
          <w:spacing w:val="-22"/>
        </w:rPr>
        <w:t> 万元，占比 </w:t>
      </w:r>
      <w:r>
        <w:rPr/>
        <w:t>100%；政府性基</w:t>
      </w:r>
      <w:r>
        <w:rPr>
          <w:spacing w:val="-9"/>
        </w:rPr>
        <w:t>金预算财政拨款收入 </w:t>
      </w:r>
      <w:r>
        <w:rPr/>
        <w:t>0</w:t>
      </w:r>
      <w:r>
        <w:rPr>
          <w:spacing w:val="-32"/>
        </w:rPr>
        <w:t> 万元，占比 </w:t>
      </w:r>
      <w:r>
        <w:rPr>
          <w:spacing w:val="-17"/>
        </w:rPr>
        <w:t>0</w:t>
      </w:r>
      <w:r>
        <w:rPr>
          <w:spacing w:val="-6"/>
        </w:rPr>
        <w:t>%；国有资本经营预算财</w:t>
      </w:r>
      <w:r>
        <w:rPr>
          <w:spacing w:val="-19"/>
        </w:rPr>
        <w:t>政拨款收入 </w:t>
      </w:r>
      <w:r>
        <w:rPr/>
        <w:t>0</w:t>
      </w:r>
      <w:r>
        <w:rPr>
          <w:spacing w:val="-25"/>
        </w:rPr>
        <w:t> 万元，占比 </w:t>
      </w:r>
      <w:r>
        <w:rPr/>
        <w:t>0%。</w:t>
      </w:r>
    </w:p>
    <w:p>
      <w:pPr>
        <w:pStyle w:val="Heading1"/>
        <w:spacing w:before="8"/>
      </w:pPr>
      <w:r>
        <w:rPr>
          <w:b w:val="0"/>
        </w:rPr>
        <w:t>六</w:t>
      </w:r>
      <w:r>
        <w:rPr/>
        <w:t>、财政拨款支出决算情况说明</w:t>
      </w:r>
    </w:p>
    <w:p>
      <w:pPr>
        <w:spacing w:before="171"/>
        <w:ind w:left="763" w:right="0" w:firstLine="0"/>
        <w:jc w:val="left"/>
        <w:rPr>
          <w:b/>
          <w:sz w:val="32"/>
        </w:rPr>
      </w:pPr>
      <w:r>
        <w:rPr>
          <w:b/>
          <w:sz w:val="32"/>
        </w:rPr>
        <w:t>（一）财政拨款支出决算总体情况</w:t>
      </w:r>
    </w:p>
    <w:p>
      <w:pPr>
        <w:pStyle w:val="BodyText"/>
        <w:spacing w:before="168"/>
        <w:ind w:left="763"/>
      </w:pPr>
      <w:r>
        <w:rPr/>
        <w:t>2020 年度财政拨款支出合计 277.71 万元，占本年支出</w:t>
      </w:r>
    </w:p>
    <w:p>
      <w:pPr>
        <w:pStyle w:val="BodyText"/>
        <w:spacing w:line="338" w:lineRule="auto" w:before="171"/>
        <w:ind w:left="122" w:right="161"/>
      </w:pPr>
      <w:r>
        <w:rPr>
          <w:spacing w:val="-15"/>
        </w:rPr>
        <w:t>合计的 </w:t>
      </w:r>
      <w:r>
        <w:rPr/>
        <w:t>6.63</w:t>
      </w:r>
      <w:r>
        <w:rPr>
          <w:spacing w:val="-18"/>
        </w:rPr>
        <w:t>%。与 </w:t>
      </w:r>
      <w:r>
        <w:rPr/>
        <w:t>2019</w:t>
      </w:r>
      <w:r>
        <w:rPr>
          <w:spacing w:val="-9"/>
        </w:rPr>
        <w:t> 年相比，财政拨款支出减少 </w:t>
      </w:r>
      <w:r>
        <w:rPr/>
        <w:t>137.45 </w:t>
      </w:r>
      <w:r>
        <w:rPr>
          <w:spacing w:val="-15"/>
        </w:rPr>
        <w:t>万元，下降 </w:t>
      </w:r>
      <w:r>
        <w:rPr/>
        <w:t>33.11%。主要原因是项目收支变动影响。其中， </w:t>
      </w:r>
      <w:r>
        <w:rPr>
          <w:spacing w:val="-16"/>
        </w:rPr>
        <w:t>人员经费 </w:t>
      </w:r>
      <w:r>
        <w:rPr/>
        <w:t>0</w:t>
      </w:r>
      <w:r>
        <w:rPr>
          <w:spacing w:val="-23"/>
        </w:rPr>
        <w:t> 万元，占比 </w:t>
      </w:r>
      <w:r>
        <w:rPr/>
        <w:t>0%</w:t>
      </w:r>
      <w:r>
        <w:rPr>
          <w:spacing w:val="-10"/>
        </w:rPr>
        <w:t>，日常公用经费 </w:t>
      </w:r>
      <w:r>
        <w:rPr/>
        <w:t>277.71</w:t>
      </w:r>
      <w:r>
        <w:rPr>
          <w:spacing w:val="-16"/>
        </w:rPr>
        <w:t> 万元，占</w:t>
      </w:r>
      <w:r>
        <w:rPr>
          <w:spacing w:val="-48"/>
        </w:rPr>
        <w:t>比 </w:t>
      </w:r>
      <w:r>
        <w:rPr/>
        <w:t>100%。</w:t>
      </w:r>
    </w:p>
    <w:p>
      <w:pPr>
        <w:pStyle w:val="Heading1"/>
        <w:spacing w:before="9"/>
      </w:pPr>
      <w:r>
        <w:rPr/>
        <w:t>（二）财政拨款支出决算结构情况</w:t>
      </w:r>
    </w:p>
    <w:p>
      <w:pPr>
        <w:pStyle w:val="BodyText"/>
        <w:spacing w:line="340" w:lineRule="auto" w:before="168"/>
        <w:ind w:left="122" w:right="262" w:firstLine="640"/>
      </w:pPr>
      <w:r>
        <w:rPr/>
        <w:t>2020</w:t>
      </w:r>
      <w:r>
        <w:rPr>
          <w:spacing w:val="-16"/>
        </w:rPr>
        <w:t> 年度财政拨款支出 </w:t>
      </w:r>
      <w:r>
        <w:rPr/>
        <w:t>277.71</w:t>
      </w:r>
      <w:r>
        <w:rPr>
          <w:spacing w:val="-8"/>
        </w:rPr>
        <w:t> 万元，主要用于以下方面：</w:t>
      </w:r>
      <w:r>
        <w:rPr>
          <w:b/>
          <w:spacing w:val="-8"/>
        </w:rPr>
        <w:t>卫生健康（类）</w:t>
      </w:r>
      <w:r>
        <w:rPr>
          <w:spacing w:val="-32"/>
        </w:rPr>
        <w:t>支出 </w:t>
      </w:r>
      <w:r>
        <w:rPr/>
        <w:t>277.71</w:t>
      </w:r>
      <w:r>
        <w:rPr>
          <w:spacing w:val="-28"/>
        </w:rPr>
        <w:t> 万元，占 </w:t>
      </w:r>
      <w:r>
        <w:rPr/>
        <w:t>100%。</w:t>
      </w:r>
    </w:p>
    <w:p>
      <w:pPr>
        <w:pStyle w:val="Heading1"/>
        <w:spacing w:line="407" w:lineRule="exact"/>
      </w:pPr>
      <w:r>
        <w:rPr/>
        <w:t>（三）财政拨款支出决算具体情况</w:t>
      </w:r>
    </w:p>
    <w:p>
      <w:pPr>
        <w:pStyle w:val="BodyText"/>
        <w:spacing w:line="340" w:lineRule="auto" w:before="168"/>
        <w:ind w:left="122" w:right="262" w:firstLine="640"/>
      </w:pPr>
      <w:r>
        <w:rPr>
          <w:rFonts w:ascii="Times New Roman" w:eastAsia="Times New Roman"/>
        </w:rPr>
        <w:t>2020 </w:t>
      </w:r>
      <w:r>
        <w:rPr/>
        <w:t>年度财政拨款支出年初预算 </w:t>
      </w:r>
      <w:r>
        <w:rPr>
          <w:rFonts w:ascii="Times New Roman" w:eastAsia="Times New Roman"/>
        </w:rPr>
        <w:t>160.47 </w:t>
      </w:r>
      <w:r>
        <w:rPr/>
        <w:t>万元，支出决算 </w:t>
      </w:r>
      <w:r>
        <w:rPr>
          <w:rFonts w:ascii="Times New Roman" w:eastAsia="Times New Roman"/>
        </w:rPr>
        <w:t>277.71 </w:t>
      </w:r>
      <w:r>
        <w:rPr/>
        <w:t>万元，完成年初预算的 </w:t>
      </w:r>
      <w:r>
        <w:rPr>
          <w:rFonts w:ascii="Times New Roman" w:eastAsia="Times New Roman"/>
        </w:rPr>
        <w:t>173.06%</w:t>
      </w:r>
      <w:r>
        <w:rPr/>
        <w:t>。其中：</w:t>
      </w:r>
    </w:p>
    <w:p>
      <w:pPr>
        <w:pStyle w:val="BodyText"/>
        <w:spacing w:line="407" w:lineRule="exact"/>
        <w:ind w:left="763"/>
      </w:pPr>
      <w:r>
        <w:rPr/>
        <w:t>卫生健康（类）支出年初预算 160.47 万元，支出决算</w:t>
      </w:r>
    </w:p>
    <w:p>
      <w:pPr>
        <w:pStyle w:val="BodyText"/>
        <w:spacing w:line="338" w:lineRule="auto" w:before="169"/>
        <w:ind w:left="122" w:right="101"/>
      </w:pPr>
      <w:r>
        <w:rPr/>
        <w:t>277.71</w:t>
      </w:r>
      <w:r>
        <w:rPr>
          <w:spacing w:val="-24"/>
        </w:rPr>
        <w:t> 万元，完成年初预算的 </w:t>
      </w:r>
      <w:r>
        <w:rPr>
          <w:spacing w:val="-12"/>
        </w:rPr>
        <w:t>173.06</w:t>
      </w:r>
      <w:r>
        <w:rPr>
          <w:spacing w:val="-5"/>
        </w:rPr>
        <w:t>%，用于公立医院改革、</w:t>
      </w:r>
      <w:r>
        <w:rPr>
          <w:spacing w:val="11"/>
        </w:rPr>
        <w:t>突发公共卫生事件应急处理和儿童口腔疾病综合干预等项</w:t>
      </w:r>
      <w:r>
        <w:rPr>
          <w:spacing w:val="-27"/>
        </w:rPr>
        <w:t>目。较 </w:t>
      </w:r>
      <w:r>
        <w:rPr/>
        <w:t>2019</w:t>
      </w:r>
      <w:r>
        <w:rPr>
          <w:spacing w:val="-25"/>
        </w:rPr>
        <w:t> 年决算减少 </w:t>
      </w:r>
      <w:r>
        <w:rPr/>
        <w:t>137.45</w:t>
      </w:r>
      <w:r>
        <w:rPr>
          <w:spacing w:val="-29"/>
        </w:rPr>
        <w:t> 万元，下降 </w:t>
      </w:r>
      <w:r>
        <w:rPr>
          <w:spacing w:val="-5"/>
        </w:rPr>
        <w:t>33.11</w:t>
      </w:r>
      <w:r>
        <w:rPr>
          <w:spacing w:val="-3"/>
        </w:rPr>
        <w:t>%，主要原因项目收支变动影响。</w:t>
      </w:r>
    </w:p>
    <w:p>
      <w:pPr>
        <w:pStyle w:val="Heading1"/>
        <w:spacing w:before="8"/>
      </w:pPr>
      <w:r>
        <w:rPr/>
        <w:t>七、一般公共预算财政拨款支出决算情况说明</w:t>
      </w:r>
    </w:p>
    <w:p>
      <w:pPr>
        <w:spacing w:before="171"/>
        <w:ind w:left="763" w:right="0" w:firstLine="0"/>
        <w:jc w:val="left"/>
        <w:rPr>
          <w:b/>
          <w:sz w:val="32"/>
        </w:rPr>
      </w:pPr>
      <w:r>
        <w:rPr>
          <w:b/>
          <w:sz w:val="32"/>
        </w:rPr>
        <w:t>（一）一般公共预算财政拨款支出决算总体情况</w:t>
      </w:r>
    </w:p>
    <w:p>
      <w:pPr>
        <w:spacing w:after="0"/>
        <w:jc w:val="left"/>
        <w:rPr>
          <w:sz w:val="32"/>
        </w:rPr>
        <w:sectPr>
          <w:pgSz w:w="11910" w:h="16840"/>
          <w:pgMar w:top="1540" w:bottom="280" w:left="1680" w:right="1540"/>
        </w:sectPr>
      </w:pPr>
    </w:p>
    <w:p>
      <w:pPr>
        <w:pStyle w:val="BodyText"/>
        <w:spacing w:line="340" w:lineRule="auto" w:before="26"/>
        <w:ind w:left="122" w:right="260" w:firstLine="640"/>
        <w:jc w:val="both"/>
      </w:pPr>
      <w:r>
        <w:rPr/>
        <w:t>2020</w:t>
      </w:r>
      <w:r>
        <w:rPr>
          <w:spacing w:val="-11"/>
        </w:rPr>
        <w:t> 年度一般公共预算财政拨款支出 </w:t>
      </w:r>
      <w:r>
        <w:rPr/>
        <w:t>277.71</w:t>
      </w:r>
      <w:r>
        <w:rPr>
          <w:spacing w:val="-16"/>
        </w:rPr>
        <w:t> 万元，占</w:t>
      </w:r>
      <w:r>
        <w:rPr>
          <w:spacing w:val="-25"/>
        </w:rPr>
        <w:t>本年支出合计的 </w:t>
      </w:r>
      <w:r>
        <w:rPr/>
        <w:t>6.63</w:t>
      </w:r>
      <w:r>
        <w:rPr>
          <w:spacing w:val="-34"/>
        </w:rPr>
        <w:t>%。与 </w:t>
      </w:r>
      <w:r>
        <w:rPr/>
        <w:t>2019</w:t>
      </w:r>
      <w:r>
        <w:rPr>
          <w:spacing w:val="-13"/>
        </w:rPr>
        <w:t> 年相比，一般公共预算财政</w:t>
      </w:r>
      <w:r>
        <w:rPr>
          <w:spacing w:val="-11"/>
        </w:rPr>
        <w:t>拨款支出减少 </w:t>
      </w:r>
      <w:r>
        <w:rPr/>
        <w:t>137.45</w:t>
      </w:r>
      <w:r>
        <w:rPr>
          <w:spacing w:val="-24"/>
        </w:rPr>
        <w:t> 万元，下降 </w:t>
      </w:r>
      <w:r>
        <w:rPr/>
        <w:t>33.11%。主要原因是项目</w:t>
      </w:r>
      <w:r>
        <w:rPr>
          <w:spacing w:val="-12"/>
        </w:rPr>
        <w:t>收支变动影响。其中，人员经费 </w:t>
      </w:r>
      <w:r>
        <w:rPr/>
        <w:t>0</w:t>
      </w:r>
      <w:r>
        <w:rPr>
          <w:spacing w:val="-28"/>
        </w:rPr>
        <w:t> 万元，占比 </w:t>
      </w:r>
      <w:r>
        <w:rPr>
          <w:spacing w:val="-9"/>
        </w:rPr>
        <w:t>0</w:t>
      </w:r>
      <w:r>
        <w:rPr>
          <w:spacing w:val="-4"/>
        </w:rPr>
        <w:t>%，日常公用</w:t>
      </w:r>
      <w:r>
        <w:rPr>
          <w:spacing w:val="-30"/>
        </w:rPr>
        <w:t>经费 </w:t>
      </w:r>
      <w:r>
        <w:rPr/>
        <w:t>277.71</w:t>
      </w:r>
      <w:r>
        <w:rPr>
          <w:spacing w:val="-25"/>
        </w:rPr>
        <w:t> 万元，占比 </w:t>
      </w:r>
      <w:r>
        <w:rPr/>
        <w:t>0%。</w:t>
      </w:r>
    </w:p>
    <w:p>
      <w:pPr>
        <w:pStyle w:val="Heading1"/>
        <w:spacing w:line="401" w:lineRule="exact"/>
      </w:pPr>
      <w:r>
        <w:rPr/>
        <w:t>（二）一般公共预算财政拨款支出决算结构情况</w:t>
      </w:r>
    </w:p>
    <w:p>
      <w:pPr>
        <w:pStyle w:val="BodyText"/>
        <w:spacing w:line="340" w:lineRule="auto" w:before="168"/>
        <w:ind w:left="122" w:right="101" w:firstLine="640"/>
      </w:pPr>
      <w:r>
        <w:rPr/>
        <w:t>2020</w:t>
      </w:r>
      <w:r>
        <w:rPr>
          <w:spacing w:val="-11"/>
        </w:rPr>
        <w:t> 年度一般公共预算财政拨款支出 </w:t>
      </w:r>
      <w:r>
        <w:rPr/>
        <w:t>277.71</w:t>
      </w:r>
      <w:r>
        <w:rPr>
          <w:spacing w:val="-16"/>
        </w:rPr>
        <w:t> 万元，主</w:t>
      </w:r>
      <w:r>
        <w:rPr>
          <w:spacing w:val="-28"/>
        </w:rPr>
        <w:t>要用于以下方面：</w:t>
      </w:r>
      <w:r>
        <w:rPr>
          <w:b/>
          <w:spacing w:val="-27"/>
        </w:rPr>
        <w:t>卫生健康</w:t>
      </w:r>
      <w:r>
        <w:rPr>
          <w:b/>
        </w:rPr>
        <w:t>（</w:t>
      </w:r>
      <w:r>
        <w:rPr>
          <w:b/>
          <w:spacing w:val="5"/>
        </w:rPr>
        <w:t>类</w:t>
      </w:r>
      <w:r>
        <w:rPr>
          <w:b/>
          <w:spacing w:val="-108"/>
        </w:rPr>
        <w:t>）</w:t>
      </w:r>
      <w:r>
        <w:rPr>
          <w:spacing w:val="-29"/>
        </w:rPr>
        <w:t>支出 </w:t>
      </w:r>
      <w:r>
        <w:rPr/>
        <w:t>277.71</w:t>
      </w:r>
      <w:r>
        <w:rPr>
          <w:spacing w:val="-48"/>
        </w:rPr>
        <w:t> 万元，占 </w:t>
      </w:r>
      <w:r>
        <w:rPr/>
        <w:t>100%。</w:t>
      </w:r>
    </w:p>
    <w:p>
      <w:pPr>
        <w:pStyle w:val="Heading1"/>
        <w:spacing w:line="407" w:lineRule="exact"/>
      </w:pPr>
      <w:r>
        <w:rPr/>
        <w:t>（三）一般公共预算财政拨款支出决算具体情况</w:t>
      </w:r>
    </w:p>
    <w:p>
      <w:pPr>
        <w:pStyle w:val="BodyText"/>
        <w:spacing w:line="340" w:lineRule="auto" w:before="169"/>
        <w:ind w:left="122" w:right="260" w:firstLine="640"/>
        <w:jc w:val="both"/>
      </w:pPr>
      <w:r>
        <w:rPr>
          <w:rFonts w:ascii="Times New Roman" w:eastAsia="Times New Roman"/>
        </w:rPr>
        <w:t>2020 </w:t>
      </w:r>
      <w:r>
        <w:rPr>
          <w:spacing w:val="6"/>
        </w:rPr>
        <w:t>年度一般公共预算财政拨款支出年初预算 </w:t>
      </w:r>
      <w:r>
        <w:rPr>
          <w:rFonts w:ascii="Times New Roman" w:eastAsia="Times New Roman"/>
        </w:rPr>
        <w:t>160.47 </w:t>
      </w:r>
      <w:r>
        <w:rPr>
          <w:spacing w:val="-15"/>
        </w:rPr>
        <w:t>万元，支出决算 </w:t>
      </w:r>
      <w:r>
        <w:rPr>
          <w:rFonts w:ascii="Times New Roman" w:eastAsia="Times New Roman"/>
        </w:rPr>
        <w:t>277.71 </w:t>
      </w:r>
      <w:r>
        <w:rPr>
          <w:spacing w:val="-12"/>
        </w:rPr>
        <w:t>万元，完成年初预算的 </w:t>
      </w:r>
      <w:r>
        <w:rPr>
          <w:rFonts w:ascii="Times New Roman" w:eastAsia="Times New Roman"/>
        </w:rPr>
        <w:t>173.06%</w:t>
      </w:r>
      <w:r>
        <w:rPr>
          <w:spacing w:val="-8"/>
        </w:rPr>
        <w:t>。其中：</w:t>
      </w:r>
    </w:p>
    <w:p>
      <w:pPr>
        <w:pStyle w:val="BodyText"/>
        <w:spacing w:line="403" w:lineRule="exact"/>
        <w:ind w:left="763"/>
      </w:pPr>
      <w:r>
        <w:rPr/>
        <w:t>卫生健康（类）支出年初预算 160.47 万元，支出决算</w:t>
      </w:r>
    </w:p>
    <w:p>
      <w:pPr>
        <w:pStyle w:val="BodyText"/>
        <w:spacing w:line="338" w:lineRule="auto" w:before="171"/>
        <w:ind w:left="122" w:right="101"/>
      </w:pPr>
      <w:r>
        <w:rPr/>
        <w:t>277.71</w:t>
      </w:r>
      <w:r>
        <w:rPr>
          <w:spacing w:val="-24"/>
        </w:rPr>
        <w:t> 万元，完成年初预算的 </w:t>
      </w:r>
      <w:r>
        <w:rPr>
          <w:spacing w:val="-12"/>
        </w:rPr>
        <w:t>173.06</w:t>
      </w:r>
      <w:r>
        <w:rPr>
          <w:spacing w:val="-5"/>
        </w:rPr>
        <w:t>%，用于公立医院改革、</w:t>
      </w:r>
      <w:r>
        <w:rPr>
          <w:spacing w:val="11"/>
        </w:rPr>
        <w:t>突发公共卫生事件应急处理和儿童口腔疾病综合干预等项</w:t>
      </w:r>
      <w:r>
        <w:rPr>
          <w:spacing w:val="-27"/>
        </w:rPr>
        <w:t>目。较 </w:t>
      </w:r>
      <w:r>
        <w:rPr/>
        <w:t>2019</w:t>
      </w:r>
      <w:r>
        <w:rPr>
          <w:spacing w:val="-25"/>
        </w:rPr>
        <w:t> 年决算减少 </w:t>
      </w:r>
      <w:r>
        <w:rPr/>
        <w:t>137.45</w:t>
      </w:r>
      <w:r>
        <w:rPr>
          <w:spacing w:val="-29"/>
        </w:rPr>
        <w:t> 万元，下降 </w:t>
      </w:r>
      <w:r>
        <w:rPr>
          <w:spacing w:val="-5"/>
        </w:rPr>
        <w:t>33.11</w:t>
      </w:r>
      <w:r>
        <w:rPr>
          <w:spacing w:val="-3"/>
        </w:rPr>
        <w:t>%，主要原因项目收支变动影响。</w:t>
      </w:r>
    </w:p>
    <w:p>
      <w:pPr>
        <w:spacing w:line="338" w:lineRule="auto" w:before="8"/>
        <w:ind w:left="763" w:right="99" w:firstLine="0"/>
        <w:jc w:val="left"/>
        <w:rPr>
          <w:sz w:val="32"/>
        </w:rPr>
      </w:pPr>
      <w:r>
        <w:rPr>
          <w:b/>
          <w:sz w:val="32"/>
        </w:rPr>
        <w:t>八、一般公共预算财政拨款基本支出决算情况说明 </w:t>
      </w:r>
      <w:r>
        <w:rPr>
          <w:sz w:val="32"/>
        </w:rPr>
        <w:t>2020</w:t>
      </w:r>
      <w:r>
        <w:rPr>
          <w:spacing w:val="-9"/>
          <w:sz w:val="32"/>
        </w:rPr>
        <w:t> 年度一般公共预算财政拨款基本支出</w:t>
      </w:r>
      <w:r>
        <w:rPr>
          <w:sz w:val="32"/>
        </w:rPr>
        <w:t>0</w:t>
      </w:r>
      <w:r>
        <w:rPr>
          <w:spacing w:val="-41"/>
          <w:sz w:val="32"/>
        </w:rPr>
        <w:t> 万元，其中：</w:t>
      </w:r>
    </w:p>
    <w:p>
      <w:pPr>
        <w:pStyle w:val="BodyText"/>
        <w:spacing w:before="3"/>
        <w:ind w:left="122"/>
      </w:pPr>
      <w:r>
        <w:rPr/>
        <w:t>人员经费 0 万元；公用经费 0 万元。</w:t>
      </w:r>
    </w:p>
    <w:p>
      <w:pPr>
        <w:pStyle w:val="Heading1"/>
        <w:spacing w:before="171"/>
      </w:pPr>
      <w:bookmarkStart w:name="九、一般公共预算财政拨款“三公”经费支出决算情况说明" w:id="2"/>
      <w:bookmarkEnd w:id="2"/>
      <w:r>
        <w:rPr>
          <w:b w:val="0"/>
        </w:rPr>
      </w:r>
      <w:r>
        <w:rPr/>
        <w:t>九、一般公共预算财政拨款“三公”经费支出决算情况</w:t>
      </w:r>
    </w:p>
    <w:p>
      <w:pPr>
        <w:pStyle w:val="BodyText"/>
        <w:spacing w:before="11"/>
        <w:rPr>
          <w:b/>
          <w:sz w:val="8"/>
        </w:rPr>
      </w:pPr>
    </w:p>
    <w:p>
      <w:pPr>
        <w:spacing w:before="55"/>
        <w:ind w:left="122" w:right="0" w:firstLine="0"/>
        <w:jc w:val="left"/>
        <w:rPr>
          <w:b/>
          <w:sz w:val="32"/>
        </w:rPr>
      </w:pPr>
      <w:r>
        <w:rPr>
          <w:b/>
          <w:sz w:val="32"/>
        </w:rPr>
        <w:t>说明</w:t>
      </w:r>
    </w:p>
    <w:p>
      <w:pPr>
        <w:pStyle w:val="BodyText"/>
        <w:spacing w:line="340" w:lineRule="auto" w:before="170"/>
        <w:ind w:left="763" w:right="242"/>
      </w:pPr>
      <w:r>
        <w:rPr/>
        <w:t>（一）“</w:t>
      </w:r>
      <w:r>
        <w:rPr>
          <w:spacing w:val="-1"/>
        </w:rPr>
        <w:t>三公”经费财政拨款支出决算总体情况说明。</w:t>
      </w:r>
      <w:r>
        <w:rPr/>
        <w:t>2020</w:t>
      </w:r>
      <w:r>
        <w:rPr>
          <w:spacing w:val="-10"/>
        </w:rPr>
        <w:t> 年度“三公”经费财政拨款支出预算 </w:t>
      </w:r>
      <w:r>
        <w:rPr/>
        <w:t>25</w:t>
      </w:r>
      <w:r>
        <w:rPr>
          <w:spacing w:val="-16"/>
        </w:rPr>
        <w:t> 万元，支</w:t>
      </w:r>
    </w:p>
    <w:p>
      <w:pPr>
        <w:spacing w:after="0" w:line="340" w:lineRule="auto"/>
        <w:sectPr>
          <w:pgSz w:w="11910" w:h="16840"/>
          <w:pgMar w:top="1540" w:bottom="280" w:left="1680" w:right="1540"/>
        </w:sectPr>
      </w:pPr>
    </w:p>
    <w:p>
      <w:pPr>
        <w:pStyle w:val="BodyText"/>
        <w:spacing w:line="340" w:lineRule="auto" w:before="26"/>
        <w:ind w:left="122" w:right="101"/>
      </w:pPr>
      <w:r>
        <w:rPr>
          <w:spacing w:val="-21"/>
        </w:rPr>
        <w:t>出决算 </w:t>
      </w:r>
      <w:r>
        <w:rPr/>
        <w:t>0</w:t>
      </w:r>
      <w:r>
        <w:rPr>
          <w:spacing w:val="-23"/>
        </w:rPr>
        <w:t> 万元，完成预算的 </w:t>
      </w:r>
      <w:r>
        <w:rPr>
          <w:spacing w:val="-17"/>
        </w:rPr>
        <w:t>0</w:t>
      </w:r>
      <w:r>
        <w:rPr>
          <w:spacing w:val="-30"/>
        </w:rPr>
        <w:t>%，比 </w:t>
      </w:r>
      <w:r>
        <w:rPr/>
        <w:t>2019</w:t>
      </w:r>
      <w:r>
        <w:rPr>
          <w:spacing w:val="-33"/>
        </w:rPr>
        <w:t> 年减少 </w:t>
      </w:r>
      <w:r>
        <w:rPr/>
        <w:t>10.29</w:t>
      </w:r>
      <w:r>
        <w:rPr>
          <w:spacing w:val="-21"/>
        </w:rPr>
        <w:t> 万元， </w:t>
      </w:r>
      <w:r>
        <w:rPr>
          <w:spacing w:val="-42"/>
        </w:rPr>
        <w:t>下降 </w:t>
      </w:r>
      <w:r>
        <w:rPr>
          <w:spacing w:val="-7"/>
        </w:rPr>
        <w:t>100</w:t>
      </w:r>
      <w:r>
        <w:rPr>
          <w:spacing w:val="-8"/>
        </w:rPr>
        <w:t>%，主要原因是新冠肺炎疫情影响和加强“三公”经费管理控制。</w:t>
      </w:r>
    </w:p>
    <w:p>
      <w:pPr>
        <w:pStyle w:val="BodyText"/>
        <w:spacing w:line="340" w:lineRule="auto"/>
        <w:ind w:left="763" w:right="101"/>
      </w:pPr>
      <w:r>
        <w:rPr/>
        <w:t>（二）“三公”经费财政拨款支出决算具体情况说明。</w:t>
      </w:r>
      <w:r>
        <w:rPr>
          <w:spacing w:val="-2"/>
        </w:rPr>
        <w:t>因公出国</w:t>
      </w:r>
      <w:r>
        <w:rPr/>
        <w:t>（境</w:t>
      </w:r>
      <w:r>
        <w:rPr>
          <w:spacing w:val="-7"/>
        </w:rPr>
        <w:t>）</w:t>
      </w:r>
      <w:r>
        <w:rPr>
          <w:spacing w:val="-14"/>
        </w:rPr>
        <w:t>费年初预算 </w:t>
      </w:r>
      <w:r>
        <w:rPr/>
        <w:t>20</w:t>
      </w:r>
      <w:r>
        <w:rPr>
          <w:spacing w:val="-21"/>
        </w:rPr>
        <w:t> 万元，支出决算 </w:t>
      </w:r>
      <w:r>
        <w:rPr/>
        <w:t>0</w:t>
      </w:r>
      <w:r>
        <w:rPr>
          <w:spacing w:val="-21"/>
        </w:rPr>
        <w:t> 万元，</w:t>
      </w:r>
    </w:p>
    <w:p>
      <w:pPr>
        <w:pStyle w:val="BodyText"/>
        <w:spacing w:line="338" w:lineRule="auto"/>
        <w:ind w:left="122" w:right="262"/>
        <w:jc w:val="both"/>
      </w:pPr>
      <w:r>
        <w:rPr>
          <w:spacing w:val="-11"/>
        </w:rPr>
        <w:t>完成年初预算的 </w:t>
      </w:r>
      <w:r>
        <w:rPr/>
        <w:t>0</w:t>
      </w:r>
      <w:r>
        <w:rPr>
          <w:spacing w:val="-21"/>
        </w:rPr>
        <w:t>%，较 </w:t>
      </w:r>
      <w:r>
        <w:rPr/>
        <w:t>2019</w:t>
      </w:r>
      <w:r>
        <w:rPr>
          <w:spacing w:val="-25"/>
        </w:rPr>
        <w:t> 年决算减少 </w:t>
      </w:r>
      <w:r>
        <w:rPr/>
        <w:t>10.08</w:t>
      </w:r>
      <w:r>
        <w:rPr>
          <w:spacing w:val="-15"/>
        </w:rPr>
        <w:t> 万元，下降</w:t>
      </w:r>
      <w:r>
        <w:rPr>
          <w:spacing w:val="-15"/>
          <w:w w:val="95"/>
        </w:rPr>
        <w:t>100%，主要原因新冠肺炎疫情影响和加强“三公”经费管理 </w:t>
      </w:r>
      <w:r>
        <w:rPr>
          <w:spacing w:val="-19"/>
        </w:rPr>
        <w:t>控制；公务用车购置及运行费年初预算 </w:t>
      </w:r>
      <w:r>
        <w:rPr/>
        <w:t>5</w:t>
      </w:r>
      <w:r>
        <w:rPr>
          <w:spacing w:val="-20"/>
        </w:rPr>
        <w:t> 万元，支出决算 </w:t>
      </w:r>
      <w:r>
        <w:rPr/>
        <w:t>0</w:t>
      </w:r>
    </w:p>
    <w:p>
      <w:pPr>
        <w:pStyle w:val="BodyText"/>
        <w:spacing w:line="338" w:lineRule="auto"/>
        <w:ind w:left="122" w:right="101"/>
        <w:jc w:val="both"/>
      </w:pPr>
      <w:r>
        <w:rPr>
          <w:spacing w:val="-8"/>
        </w:rPr>
        <w:t>万元，完成年初预算的 </w:t>
      </w:r>
      <w:r>
        <w:rPr/>
        <w:t>0</w:t>
      </w:r>
      <w:r>
        <w:rPr>
          <w:spacing w:val="-21"/>
        </w:rPr>
        <w:t>%，较 </w:t>
      </w:r>
      <w:r>
        <w:rPr/>
        <w:t>2019</w:t>
      </w:r>
      <w:r>
        <w:rPr>
          <w:spacing w:val="-25"/>
        </w:rPr>
        <w:t> 年决算减少 </w:t>
      </w:r>
      <w:r>
        <w:rPr/>
        <w:t>0.21</w:t>
      </w:r>
      <w:r>
        <w:rPr>
          <w:spacing w:val="-21"/>
        </w:rPr>
        <w:t> 万元， </w:t>
      </w:r>
      <w:r>
        <w:rPr>
          <w:spacing w:val="-42"/>
        </w:rPr>
        <w:t>下降 </w:t>
      </w:r>
      <w:r>
        <w:rPr>
          <w:spacing w:val="-5"/>
        </w:rPr>
        <w:t>100</w:t>
      </w:r>
      <w:r>
        <w:rPr>
          <w:spacing w:val="-9"/>
        </w:rPr>
        <w:t>%，主要原因加强“三公”经费管理控制；公务接待</w:t>
      </w:r>
      <w:r>
        <w:rPr>
          <w:spacing w:val="-22"/>
        </w:rPr>
        <w:t>费年初预算 </w:t>
      </w:r>
      <w:r>
        <w:rPr/>
        <w:t>0</w:t>
      </w:r>
      <w:r>
        <w:rPr>
          <w:spacing w:val="-20"/>
        </w:rPr>
        <w:t> 万元，支出决算 </w:t>
      </w:r>
      <w:r>
        <w:rPr/>
        <w:t>0</w:t>
      </w:r>
      <w:r>
        <w:rPr>
          <w:spacing w:val="-16"/>
        </w:rPr>
        <w:t> 万元，完成年初预算的 </w:t>
      </w:r>
      <w:r>
        <w:rPr/>
        <w:t>0%， </w:t>
      </w:r>
      <w:r>
        <w:rPr>
          <w:spacing w:val="-41"/>
        </w:rPr>
        <w:t>较 </w:t>
      </w:r>
      <w:r>
        <w:rPr/>
        <w:t>2019</w:t>
      </w:r>
      <w:r>
        <w:rPr>
          <w:spacing w:val="-17"/>
        </w:rPr>
        <w:t> 年决算增加</w:t>
      </w:r>
      <w:r>
        <w:rPr/>
        <w:t>（减少</w:t>
      </w:r>
      <w:r>
        <w:rPr>
          <w:spacing w:val="-9"/>
        </w:rPr>
        <w:t>）0</w:t>
      </w:r>
      <w:r>
        <w:rPr>
          <w:spacing w:val="-20"/>
        </w:rPr>
        <w:t> 万元，增长</w:t>
      </w:r>
      <w:r>
        <w:rPr/>
        <w:t>（下降</w:t>
      </w:r>
      <w:r>
        <w:rPr>
          <w:spacing w:val="-9"/>
        </w:rPr>
        <w:t>）0</w:t>
      </w:r>
      <w:r>
        <w:rPr>
          <w:spacing w:val="-5"/>
        </w:rPr>
        <w:t>%，主要</w:t>
      </w:r>
      <w:r>
        <w:rPr>
          <w:spacing w:val="-10"/>
        </w:rPr>
        <w:t>原因加强“三公”经费管理控制。本单位 </w:t>
      </w:r>
      <w:r>
        <w:rPr/>
        <w:t>2020</w:t>
      </w:r>
      <w:r>
        <w:rPr>
          <w:spacing w:val="-15"/>
        </w:rPr>
        <w:t> 年无“三公” 经费。</w:t>
      </w:r>
    </w:p>
    <w:p>
      <w:pPr>
        <w:pStyle w:val="Heading1"/>
        <w:spacing w:before="8"/>
      </w:pPr>
      <w:r>
        <w:rPr/>
        <w:t>十、其他重要事项情况说明</w:t>
      </w:r>
    </w:p>
    <w:p>
      <w:pPr>
        <w:spacing w:line="340" w:lineRule="auto" w:before="168"/>
        <w:ind w:left="763" w:right="3104" w:firstLine="0"/>
        <w:jc w:val="left"/>
        <w:rPr>
          <w:sz w:val="32"/>
        </w:rPr>
      </w:pPr>
      <w:bookmarkStart w:name="（一）机关运行经费支出情况说明" w:id="3"/>
      <w:bookmarkEnd w:id="3"/>
      <w:r>
        <w:rPr/>
      </w:r>
      <w:r>
        <w:rPr>
          <w:b/>
          <w:sz w:val="32"/>
        </w:rPr>
        <w:t>（一）</w:t>
      </w:r>
      <w:r>
        <w:rPr>
          <w:b/>
          <w:spacing w:val="-1"/>
          <w:sz w:val="32"/>
        </w:rPr>
        <w:t>机关运行经费支出情况说明</w:t>
      </w:r>
      <w:r>
        <w:rPr>
          <w:sz w:val="32"/>
        </w:rPr>
        <w:t>本单位无机关运行经费。</w:t>
      </w:r>
    </w:p>
    <w:p>
      <w:pPr>
        <w:pStyle w:val="Heading1"/>
        <w:spacing w:line="407" w:lineRule="exact"/>
      </w:pPr>
      <w:bookmarkStart w:name="（二）政府采购情况说明" w:id="4"/>
      <w:bookmarkEnd w:id="4"/>
      <w:r>
        <w:rPr>
          <w:b w:val="0"/>
        </w:rPr>
      </w:r>
      <w:r>
        <w:rPr>
          <w:w w:val="95"/>
        </w:rPr>
        <w:t>（二）政府采购情况说明</w:t>
      </w:r>
    </w:p>
    <w:p>
      <w:pPr>
        <w:pStyle w:val="BodyText"/>
        <w:spacing w:before="168"/>
        <w:ind w:right="262"/>
        <w:jc w:val="right"/>
      </w:pPr>
      <w:r>
        <w:rPr/>
        <w:t>2020</w:t>
      </w:r>
      <w:r>
        <w:rPr>
          <w:spacing w:val="-14"/>
        </w:rPr>
        <w:t> 年度政府采购支出总额 </w:t>
      </w:r>
      <w:r>
        <w:rPr/>
        <w:t>151.27</w:t>
      </w:r>
      <w:r>
        <w:rPr>
          <w:spacing w:val="-8"/>
        </w:rPr>
        <w:t> 万元，其中：政府</w:t>
      </w:r>
    </w:p>
    <w:p>
      <w:pPr>
        <w:pStyle w:val="BodyText"/>
        <w:spacing w:before="171"/>
        <w:ind w:right="262"/>
        <w:jc w:val="right"/>
      </w:pPr>
      <w:r>
        <w:rPr>
          <w:spacing w:val="-8"/>
        </w:rPr>
        <w:t>采购货物支出 </w:t>
      </w:r>
      <w:r>
        <w:rPr/>
        <w:t>147.37</w:t>
      </w:r>
      <w:r>
        <w:rPr>
          <w:spacing w:val="-9"/>
        </w:rPr>
        <w:t> 万元、政府采购工程支出 </w:t>
      </w:r>
      <w:r>
        <w:rPr/>
        <w:t>0</w:t>
      </w:r>
      <w:r>
        <w:rPr>
          <w:spacing w:val="-12"/>
        </w:rPr>
        <w:t> 万元、政</w:t>
      </w:r>
    </w:p>
    <w:p>
      <w:pPr>
        <w:pStyle w:val="BodyText"/>
        <w:spacing w:before="171"/>
        <w:ind w:right="262"/>
        <w:jc w:val="right"/>
      </w:pPr>
      <w:r>
        <w:rPr>
          <w:spacing w:val="-11"/>
        </w:rPr>
        <w:t>府采购服务支出 </w:t>
      </w:r>
      <w:r>
        <w:rPr/>
        <w:t>3.9</w:t>
      </w:r>
      <w:r>
        <w:rPr>
          <w:spacing w:val="-12"/>
        </w:rPr>
        <w:t> 万元。政府采购授予中小企业合同金额</w:t>
      </w:r>
    </w:p>
    <w:p>
      <w:pPr>
        <w:pStyle w:val="BodyText"/>
        <w:spacing w:before="168"/>
        <w:ind w:right="262"/>
        <w:jc w:val="right"/>
      </w:pPr>
      <w:r>
        <w:rPr/>
        <w:t>0</w:t>
      </w:r>
      <w:r>
        <w:rPr>
          <w:spacing w:val="-16"/>
        </w:rPr>
        <w:t> 万元，占政府采购支出总额的 </w:t>
      </w:r>
      <w:r>
        <w:rPr/>
        <w:t>0</w:t>
      </w:r>
      <w:r>
        <w:rPr>
          <w:spacing w:val="-3"/>
        </w:rPr>
        <w:t>%。其中：授予小微企业合</w:t>
      </w:r>
    </w:p>
    <w:p>
      <w:pPr>
        <w:pStyle w:val="BodyText"/>
        <w:spacing w:before="171"/>
        <w:ind w:left="122"/>
      </w:pPr>
      <w:r>
        <w:rPr/>
        <w:t>同金额 0 万元，占政府采购支出总额的 0%.</w:t>
      </w:r>
    </w:p>
    <w:p>
      <w:pPr>
        <w:pStyle w:val="Heading1"/>
        <w:spacing w:before="171"/>
        <w:ind w:left="638"/>
      </w:pPr>
      <w:bookmarkStart w:name="（三）国有资产占用情况说明" w:id="5"/>
      <w:bookmarkEnd w:id="5"/>
      <w:r>
        <w:rPr>
          <w:b w:val="0"/>
        </w:rPr>
      </w:r>
      <w:r>
        <w:rPr/>
        <w:t>（三）国有资产占用情况说明</w:t>
      </w:r>
    </w:p>
    <w:p>
      <w:pPr>
        <w:spacing w:after="0"/>
        <w:sectPr>
          <w:pgSz w:w="11910" w:h="16840"/>
          <w:pgMar w:top="1540" w:bottom="280" w:left="1680" w:right="1540"/>
        </w:sectPr>
      </w:pPr>
    </w:p>
    <w:p>
      <w:pPr>
        <w:pStyle w:val="BodyText"/>
        <w:spacing w:before="26"/>
        <w:ind w:right="101"/>
        <w:jc w:val="right"/>
      </w:pPr>
      <w:r>
        <w:rPr>
          <w:spacing w:val="-27"/>
        </w:rPr>
        <w:t>截至 </w:t>
      </w:r>
      <w:r>
        <w:rPr/>
        <w:t>2020</w:t>
      </w:r>
      <w:r>
        <w:rPr>
          <w:spacing w:val="-55"/>
        </w:rPr>
        <w:t> 年 </w:t>
      </w:r>
      <w:r>
        <w:rPr/>
        <w:t>12</w:t>
      </w:r>
      <w:r>
        <w:rPr>
          <w:spacing w:val="-55"/>
        </w:rPr>
        <w:t> 月 </w:t>
      </w:r>
      <w:r>
        <w:rPr/>
        <w:t>31</w:t>
      </w:r>
      <w:r>
        <w:rPr>
          <w:spacing w:val="-19"/>
        </w:rPr>
        <w:t> 日，本部门共有车辆 </w:t>
      </w:r>
      <w:r>
        <w:rPr/>
        <w:t>3</w:t>
      </w:r>
      <w:r>
        <w:rPr>
          <w:spacing w:val="-17"/>
        </w:rPr>
        <w:t> 辆。其中，</w:t>
      </w:r>
    </w:p>
    <w:p>
      <w:pPr>
        <w:pStyle w:val="BodyText"/>
        <w:spacing w:before="171"/>
        <w:ind w:right="101"/>
        <w:jc w:val="right"/>
      </w:pPr>
      <w:r>
        <w:rPr>
          <w:spacing w:val="-29"/>
        </w:rPr>
        <w:t>副部</w:t>
      </w:r>
      <w:r>
        <w:rPr/>
        <w:t>（省</w:t>
      </w:r>
      <w:r>
        <w:rPr>
          <w:spacing w:val="-60"/>
        </w:rPr>
        <w:t>）</w:t>
      </w:r>
      <w:r>
        <w:rPr>
          <w:spacing w:val="-10"/>
        </w:rPr>
        <w:t>级及以上领导用车 </w:t>
      </w:r>
      <w:r>
        <w:rPr/>
        <w:t>0</w:t>
      </w:r>
      <w:r>
        <w:rPr>
          <w:spacing w:val="-22"/>
        </w:rPr>
        <w:t> 辆、主要领导干部用车 </w:t>
      </w:r>
      <w:r>
        <w:rPr/>
        <w:t>0</w:t>
      </w:r>
      <w:r>
        <w:rPr>
          <w:spacing w:val="-28"/>
        </w:rPr>
        <w:t> 辆、</w:t>
      </w:r>
    </w:p>
    <w:p>
      <w:pPr>
        <w:pStyle w:val="BodyText"/>
        <w:spacing w:before="171"/>
        <w:ind w:right="101"/>
        <w:jc w:val="right"/>
      </w:pPr>
      <w:r>
        <w:rPr>
          <w:spacing w:val="-12"/>
        </w:rPr>
        <w:t>机要通信用车 </w:t>
      </w:r>
      <w:r>
        <w:rPr/>
        <w:t>0</w:t>
      </w:r>
      <w:r>
        <w:rPr>
          <w:spacing w:val="-28"/>
        </w:rPr>
        <w:t> 辆、应急保障用车 </w:t>
      </w:r>
      <w:r>
        <w:rPr/>
        <w:t>2</w:t>
      </w:r>
      <w:r>
        <w:rPr>
          <w:spacing w:val="-28"/>
        </w:rPr>
        <w:t> 辆、执法执勤用车 </w:t>
      </w:r>
      <w:r>
        <w:rPr/>
        <w:t>0</w:t>
      </w:r>
      <w:r>
        <w:rPr>
          <w:spacing w:val="-28"/>
        </w:rPr>
        <w:t> 辆、</w:t>
      </w:r>
    </w:p>
    <w:p>
      <w:pPr>
        <w:pStyle w:val="BodyText"/>
        <w:spacing w:before="168"/>
        <w:ind w:left="122"/>
      </w:pPr>
      <w:r>
        <w:rPr>
          <w:spacing w:val="-9"/>
        </w:rPr>
        <w:t>特种专业技术用车 </w:t>
      </w:r>
      <w:r>
        <w:rPr/>
        <w:t>1</w:t>
      </w:r>
      <w:r>
        <w:rPr>
          <w:spacing w:val="-17"/>
        </w:rPr>
        <w:t> 辆、离退休干部用车 </w:t>
      </w:r>
      <w:r>
        <w:rPr/>
        <w:t>0</w:t>
      </w:r>
      <w:r>
        <w:rPr>
          <w:spacing w:val="-22"/>
        </w:rPr>
        <w:t> 辆、其他用车 </w:t>
      </w:r>
      <w:r>
        <w:rPr/>
        <w:t>0</w:t>
      </w:r>
    </w:p>
    <w:p>
      <w:pPr>
        <w:pStyle w:val="BodyText"/>
        <w:spacing w:before="171"/>
        <w:ind w:left="122"/>
      </w:pPr>
      <w:r>
        <w:rPr/>
        <w:t>辆；单价 50 万元（含）以上的通用设备 1 台（套），单价</w:t>
      </w:r>
    </w:p>
    <w:p>
      <w:pPr>
        <w:pStyle w:val="BodyText"/>
        <w:spacing w:before="171"/>
        <w:ind w:left="122"/>
      </w:pPr>
      <w:r>
        <w:rPr/>
        <w:t>100 万元（含）以上专用设备 4 台（套）。</w:t>
      </w:r>
    </w:p>
    <w:p>
      <w:pPr>
        <w:pStyle w:val="Heading1"/>
        <w:spacing w:before="168"/>
        <w:ind w:left="638"/>
      </w:pPr>
      <w:r>
        <w:rPr/>
        <w:t>（四）</w:t>
      </w:r>
      <w:bookmarkStart w:name="（四）预算绩效情况说明" w:id="6"/>
      <w:bookmarkEnd w:id="6"/>
      <w:r>
        <w:rPr/>
        <w:t>预算绩效情况说明</w:t>
      </w:r>
    </w:p>
    <w:p>
      <w:pPr>
        <w:pStyle w:val="BodyText"/>
        <w:spacing w:before="188"/>
        <w:ind w:left="722"/>
      </w:pPr>
      <w:r>
        <w:rPr/>
        <w:t>我单位 2020 年度无预算绩效。</w:t>
      </w:r>
    </w:p>
    <w:p>
      <w:pPr>
        <w:pStyle w:val="Heading1"/>
        <w:spacing w:line="340" w:lineRule="auto" w:before="173"/>
        <w:ind w:right="4193" w:hanging="125"/>
        <w:rPr>
          <w:b w:val="0"/>
        </w:rPr>
      </w:pPr>
      <w:r>
        <w:rPr/>
        <w:t>（五）</w:t>
      </w:r>
      <w:bookmarkStart w:name="（五）其他需要说明的事项" w:id="7"/>
      <w:bookmarkEnd w:id="7"/>
      <w:r>
        <w:rPr/>
        <w:t>其他需要说明的事项</w:t>
      </w:r>
      <w:bookmarkStart w:name="    无。" w:id="8"/>
      <w:bookmarkEnd w:id="8"/>
      <w:r>
        <w:rPr/>
      </w:r>
      <w:r>
        <w:rPr>
          <w:b w:val="0"/>
        </w:rPr>
        <w:t>无。</w:t>
      </w:r>
    </w:p>
    <w:p>
      <w:pPr>
        <w:pStyle w:val="BodyText"/>
        <w:tabs>
          <w:tab w:pos="2363" w:val="left" w:leader="none"/>
        </w:tabs>
        <w:spacing w:before="11"/>
        <w:ind w:left="763"/>
        <w:rPr>
          <w:rFonts w:ascii="黑体" w:eastAsia="黑体" w:hint="eastAsia"/>
        </w:rPr>
      </w:pPr>
      <w:r>
        <w:rPr>
          <w:rFonts w:ascii="黑体" w:eastAsia="黑体" w:hint="eastAsia"/>
        </w:rPr>
        <w:t>第四部分</w:t>
        <w:tab/>
        <w:t>名词解释</w:t>
      </w:r>
    </w:p>
    <w:p>
      <w:pPr>
        <w:spacing w:line="340" w:lineRule="auto" w:before="173"/>
        <w:ind w:left="122" w:right="260" w:firstLine="640"/>
        <w:jc w:val="left"/>
        <w:rPr>
          <w:sz w:val="32"/>
        </w:rPr>
      </w:pPr>
      <w:r>
        <w:rPr>
          <w:b/>
          <w:spacing w:val="-5"/>
          <w:w w:val="95"/>
          <w:sz w:val="32"/>
        </w:rPr>
        <w:t>一、财政拨款收入：</w:t>
      </w:r>
      <w:r>
        <w:rPr>
          <w:w w:val="95"/>
          <w:sz w:val="32"/>
        </w:rPr>
        <w:t>指单位从同级财政部门取得的财政 </w:t>
      </w:r>
      <w:r>
        <w:rPr>
          <w:sz w:val="32"/>
        </w:rPr>
        <w:t>预算资金。</w:t>
      </w:r>
    </w:p>
    <w:p>
      <w:pPr>
        <w:spacing w:line="338" w:lineRule="auto" w:before="0"/>
        <w:ind w:left="122" w:right="260" w:firstLine="640"/>
        <w:jc w:val="left"/>
        <w:rPr>
          <w:sz w:val="32"/>
        </w:rPr>
      </w:pPr>
      <w:r>
        <w:rPr>
          <w:b/>
          <w:spacing w:val="-5"/>
          <w:w w:val="95"/>
          <w:sz w:val="32"/>
        </w:rPr>
        <w:t>二、事业收入：</w:t>
      </w:r>
      <w:r>
        <w:rPr>
          <w:w w:val="95"/>
          <w:sz w:val="32"/>
        </w:rPr>
        <w:t>指事业单位开展专业业务活动及辅助活 </w:t>
      </w:r>
      <w:r>
        <w:rPr>
          <w:sz w:val="32"/>
        </w:rPr>
        <w:t>动取得的收入。</w:t>
      </w:r>
    </w:p>
    <w:p>
      <w:pPr>
        <w:pStyle w:val="BodyText"/>
        <w:spacing w:line="340" w:lineRule="auto" w:before="1"/>
        <w:ind w:left="122" w:right="260" w:firstLine="640"/>
      </w:pPr>
      <w:r>
        <w:rPr>
          <w:b/>
          <w:spacing w:val="-5"/>
          <w:w w:val="95"/>
        </w:rPr>
        <w:t>三、经营收入：</w:t>
      </w:r>
      <w:r>
        <w:rPr>
          <w:w w:val="95"/>
        </w:rPr>
        <w:t>指事业单位在专业业务活动及其辅助活 </w:t>
      </w:r>
      <w:r>
        <w:rPr/>
        <w:t>动之外开展非独立核算经营活动取得的收入。</w:t>
      </w:r>
    </w:p>
    <w:p>
      <w:pPr>
        <w:pStyle w:val="BodyText"/>
        <w:spacing w:line="340" w:lineRule="auto"/>
        <w:ind w:left="122" w:right="260" w:firstLine="640"/>
      </w:pPr>
      <w:r>
        <w:rPr>
          <w:b/>
          <w:spacing w:val="-5"/>
          <w:w w:val="95"/>
        </w:rPr>
        <w:t>四、其他收入：</w:t>
      </w:r>
      <w:r>
        <w:rPr>
          <w:w w:val="95"/>
        </w:rPr>
        <w:t>指单位取得的除上述收入以外的各项收 </w:t>
      </w:r>
      <w:r>
        <w:rPr/>
        <w:t>入。主要是事业单位固定资产出租收入、存款利息收入等</w:t>
      </w:r>
    </w:p>
    <w:p>
      <w:pPr>
        <w:spacing w:line="338" w:lineRule="auto" w:before="0"/>
        <w:ind w:left="122" w:right="260" w:firstLine="640"/>
        <w:jc w:val="left"/>
        <w:rPr>
          <w:sz w:val="32"/>
        </w:rPr>
      </w:pPr>
      <w:r>
        <w:rPr>
          <w:b/>
          <w:spacing w:val="-6"/>
          <w:w w:val="95"/>
          <w:sz w:val="32"/>
        </w:rPr>
        <w:t>五、使用非财政拨款结余：</w:t>
      </w:r>
      <w:r>
        <w:rPr>
          <w:w w:val="95"/>
          <w:sz w:val="32"/>
        </w:rPr>
        <w:t>指事业单位使用以前年度积 </w:t>
      </w:r>
      <w:r>
        <w:rPr>
          <w:sz w:val="32"/>
        </w:rPr>
        <w:t>累的非财政拨款结余弥补当年收支差额的金额。</w:t>
      </w:r>
    </w:p>
    <w:p>
      <w:pPr>
        <w:pStyle w:val="BodyText"/>
        <w:spacing w:line="340" w:lineRule="auto"/>
        <w:ind w:left="122" w:right="260" w:firstLine="640"/>
      </w:pPr>
      <w:r>
        <w:rPr>
          <w:b/>
          <w:spacing w:val="-4"/>
          <w:w w:val="95"/>
        </w:rPr>
        <w:t>六、年初结转和结余：</w:t>
      </w:r>
      <w:r>
        <w:rPr>
          <w:spacing w:val="-1"/>
          <w:w w:val="95"/>
        </w:rPr>
        <w:t>指单位以前年度尚未完成、结转 </w:t>
      </w:r>
      <w:r>
        <w:rPr>
          <w:spacing w:val="-2"/>
        </w:rPr>
        <w:t>到本年仍按原规定用途继续使用的资金，或项目已完成等产</w:t>
      </w:r>
    </w:p>
    <w:p>
      <w:pPr>
        <w:spacing w:after="0" w:line="340" w:lineRule="auto"/>
        <w:sectPr>
          <w:pgSz w:w="11910" w:h="16840"/>
          <w:pgMar w:top="1540" w:bottom="280" w:left="1680" w:right="1540"/>
        </w:sectPr>
      </w:pPr>
    </w:p>
    <w:p>
      <w:pPr>
        <w:pStyle w:val="BodyText"/>
        <w:spacing w:before="26"/>
        <w:ind w:left="122"/>
      </w:pPr>
      <w:r>
        <w:rPr/>
        <w:t>生的结余资金。</w:t>
      </w:r>
    </w:p>
    <w:p>
      <w:pPr>
        <w:spacing w:line="338" w:lineRule="auto" w:before="171"/>
        <w:ind w:left="122" w:right="242" w:firstLine="640"/>
        <w:jc w:val="right"/>
        <w:rPr>
          <w:sz w:val="32"/>
        </w:rPr>
      </w:pPr>
      <w:r>
        <w:rPr>
          <w:b/>
          <w:spacing w:val="-5"/>
          <w:w w:val="95"/>
          <w:sz w:val="32"/>
        </w:rPr>
        <w:t>七、结余分配：</w:t>
      </w:r>
      <w:r>
        <w:rPr>
          <w:w w:val="95"/>
          <w:sz w:val="32"/>
        </w:rPr>
        <w:t>指事业单位按照会计制度规定缴纳的所 </w:t>
      </w:r>
      <w:r>
        <w:rPr>
          <w:spacing w:val="-1"/>
          <w:w w:val="95"/>
          <w:sz w:val="32"/>
        </w:rPr>
        <w:t>得税、提取的专用结余以及转入非财政拨款结余的金额等。 </w:t>
      </w:r>
      <w:r>
        <w:rPr>
          <w:b/>
          <w:spacing w:val="-6"/>
          <w:w w:val="95"/>
          <w:sz w:val="32"/>
        </w:rPr>
        <w:t>八、年末结转和结余：</w:t>
      </w:r>
      <w:r>
        <w:rPr>
          <w:w w:val="95"/>
          <w:sz w:val="32"/>
        </w:rPr>
        <w:t>指单位按有关规定结转到下年或</w:t>
      </w:r>
    </w:p>
    <w:p>
      <w:pPr>
        <w:pStyle w:val="BodyText"/>
        <w:spacing w:line="340" w:lineRule="auto" w:before="5"/>
        <w:ind w:left="122" w:right="262"/>
      </w:pPr>
      <w:r>
        <w:rPr>
          <w:spacing w:val="11"/>
          <w:w w:val="95"/>
        </w:rPr>
        <w:t>以后年度继续使用的资金，或项目已完成等产生的结余资 </w:t>
      </w:r>
      <w:r>
        <w:rPr>
          <w:spacing w:val="11"/>
        </w:rPr>
        <w:t>金。</w:t>
      </w:r>
    </w:p>
    <w:p>
      <w:pPr>
        <w:pStyle w:val="BodyText"/>
        <w:spacing w:line="340" w:lineRule="auto"/>
        <w:ind w:left="122" w:right="260" w:firstLine="640"/>
      </w:pPr>
      <w:r>
        <w:rPr>
          <w:b/>
          <w:spacing w:val="-4"/>
          <w:w w:val="95"/>
        </w:rPr>
        <w:t>九、基本支出：</w:t>
      </w:r>
      <w:r>
        <w:rPr>
          <w:spacing w:val="-1"/>
          <w:w w:val="95"/>
        </w:rPr>
        <w:t>指为保障机构正常运转、完成日常工作 </w:t>
      </w:r>
      <w:r>
        <w:rPr>
          <w:spacing w:val="-1"/>
        </w:rPr>
        <w:t>任务而发生的人员支出和公用支出。</w:t>
      </w:r>
    </w:p>
    <w:p>
      <w:pPr>
        <w:pStyle w:val="BodyText"/>
        <w:spacing w:line="338" w:lineRule="auto"/>
        <w:ind w:left="122" w:right="260" w:firstLine="640"/>
      </w:pPr>
      <w:r>
        <w:rPr>
          <w:b/>
          <w:spacing w:val="-5"/>
          <w:w w:val="95"/>
        </w:rPr>
        <w:t>十、项目支出：</w:t>
      </w:r>
      <w:r>
        <w:rPr>
          <w:w w:val="95"/>
        </w:rPr>
        <w:t>指在基本支出之外为完成特定行政任务 </w:t>
      </w:r>
      <w:r>
        <w:rPr/>
        <w:t>和事业发展目标所发生的支出。</w:t>
      </w:r>
    </w:p>
    <w:p>
      <w:pPr>
        <w:pStyle w:val="BodyText"/>
        <w:spacing w:line="338" w:lineRule="auto"/>
        <w:ind w:left="122" w:right="101" w:firstLine="640"/>
      </w:pPr>
      <w:r>
        <w:rPr>
          <w:b/>
          <w:spacing w:val="-5"/>
        </w:rPr>
        <w:t>十一、“三公”经费：</w:t>
      </w:r>
      <w:r>
        <w:rPr/>
        <w:t>指市直部门用一般公共预算安排</w:t>
      </w:r>
      <w:r>
        <w:rPr>
          <w:spacing w:val="-12"/>
          <w:w w:val="95"/>
        </w:rPr>
        <w:t>的因公出国</w:t>
      </w:r>
      <w:r>
        <w:rPr>
          <w:w w:val="95"/>
        </w:rPr>
        <w:t>（境</w:t>
      </w:r>
      <w:r>
        <w:rPr>
          <w:spacing w:val="-60"/>
          <w:w w:val="95"/>
        </w:rPr>
        <w:t>）</w:t>
      </w:r>
      <w:r>
        <w:rPr>
          <w:spacing w:val="-8"/>
          <w:w w:val="95"/>
        </w:rPr>
        <w:t>费、公务用车购置及运行费和公务接待费。 </w:t>
      </w:r>
      <w:r>
        <w:rPr>
          <w:spacing w:val="-5"/>
        </w:rPr>
        <w:t>其中，因公出国</w:t>
      </w:r>
      <w:r>
        <w:rPr/>
        <w:t>（境</w:t>
      </w:r>
      <w:r>
        <w:rPr>
          <w:spacing w:val="-3"/>
        </w:rPr>
        <w:t>）</w:t>
      </w:r>
      <w:r>
        <w:rPr>
          <w:spacing w:val="-1"/>
        </w:rPr>
        <w:t>费反映单位公务出国</w:t>
      </w:r>
      <w:r>
        <w:rPr/>
        <w:t>（境</w:t>
      </w:r>
      <w:r>
        <w:rPr>
          <w:spacing w:val="-5"/>
        </w:rPr>
        <w:t>）</w:t>
      </w:r>
      <w:r>
        <w:rPr/>
        <w:t>的国际旅</w:t>
      </w:r>
      <w:r>
        <w:rPr>
          <w:spacing w:val="-4"/>
        </w:rPr>
        <w:t>费、国外城市间交通费、住宿费、伙食费、培训费、公杂费</w:t>
      </w:r>
      <w:r>
        <w:rPr>
          <w:spacing w:val="-6"/>
        </w:rPr>
        <w:t>等支出；公务用车购置费反映公务用车车辆购置支出</w:t>
      </w:r>
      <w:r>
        <w:rPr/>
        <w:t>（含车辆购置税</w:t>
      </w:r>
      <w:r>
        <w:rPr>
          <w:spacing w:val="-10"/>
        </w:rPr>
        <w:t>）；</w:t>
      </w:r>
      <w:r>
        <w:rPr/>
        <w:t>公务用车运行维护费反映单位按规定保留的公</w:t>
      </w:r>
      <w:r>
        <w:rPr>
          <w:spacing w:val="-4"/>
        </w:rPr>
        <w:t>务用车燃料费、维修费、过路过桥费、保险费、安全奖励费</w:t>
      </w:r>
      <w:r>
        <w:rPr>
          <w:spacing w:val="-6"/>
        </w:rPr>
        <w:t>用等支出；公务接待费反映单位按规定开支的各类公务接待</w:t>
      </w:r>
    </w:p>
    <w:p>
      <w:pPr>
        <w:pStyle w:val="BodyText"/>
        <w:spacing w:before="10"/>
        <w:ind w:left="122"/>
      </w:pPr>
      <w:r>
        <w:rPr/>
        <w:t>（含外宾接待）支出。</w:t>
      </w:r>
    </w:p>
    <w:p>
      <w:pPr>
        <w:pStyle w:val="BodyText"/>
        <w:spacing w:line="338" w:lineRule="auto" w:before="171"/>
        <w:ind w:left="122" w:right="260" w:firstLine="640"/>
        <w:jc w:val="both"/>
      </w:pPr>
      <w:r>
        <w:rPr>
          <w:b/>
          <w:spacing w:val="-5"/>
          <w:w w:val="95"/>
        </w:rPr>
        <w:t>十二、机关运行经费：</w:t>
      </w:r>
      <w:r>
        <w:rPr>
          <w:w w:val="95"/>
        </w:rPr>
        <w:t>指行政单位和参照公务员法管理 </w:t>
      </w:r>
      <w:r>
        <w:rPr>
          <w:spacing w:val="11"/>
          <w:w w:val="95"/>
        </w:rPr>
        <w:t>的事业单位使用一般公共预算安排的基本支出中的日常公 </w:t>
      </w:r>
      <w:r>
        <w:rPr>
          <w:spacing w:val="11"/>
        </w:rPr>
        <w:t>用经费支出。</w:t>
      </w:r>
    </w:p>
    <w:p>
      <w:pPr>
        <w:pStyle w:val="Heading1"/>
        <w:spacing w:before="22"/>
        <w:jc w:val="both"/>
      </w:pPr>
      <w:r>
        <w:rPr/>
        <w:t>第五部分 附件</w:t>
      </w:r>
    </w:p>
    <w:p>
      <w:pPr>
        <w:spacing w:after="0"/>
        <w:jc w:val="both"/>
        <w:sectPr>
          <w:pgSz w:w="11910" w:h="16840"/>
          <w:pgMar w:top="1540" w:bottom="280" w:left="1680" w:right="1540"/>
        </w:sectPr>
      </w:pPr>
    </w:p>
    <w:p>
      <w:pPr>
        <w:pStyle w:val="BodyText"/>
        <w:spacing w:before="43"/>
        <w:ind w:left="763"/>
      </w:pPr>
      <w:r>
        <w:rPr/>
        <w:t>无。</w:t>
      </w:r>
    </w:p>
    <w:sectPr>
      <w:pgSz w:w="11910" w:h="16840"/>
      <w:pgMar w:top="1540" w:bottom="280" w:left="168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华文中宋">
    <w:altName w:val="华文中宋"/>
    <w:charset w:val="86"/>
    <w:family w:val="auto"/>
    <w:pitch w:val="variable"/>
  </w:font>
  <w:font w:name="黑体">
    <w:altName w:val="黑体"/>
    <w:charset w:val="86"/>
    <w:family w:val="modern"/>
    <w:pitch w:val="fixed"/>
  </w:font>
  <w:font w:name="仿宋">
    <w:altName w:val="仿宋"/>
    <w:charset w:val="86"/>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82" w:hanging="322"/>
        <w:jc w:val="left"/>
      </w:pPr>
      <w:rPr>
        <w:rFonts w:hint="default" w:ascii="仿宋" w:hAnsi="仿宋" w:eastAsia="仿宋" w:cs="仿宋"/>
        <w:spacing w:val="-2"/>
        <w:w w:val="99"/>
        <w:sz w:val="30"/>
        <w:szCs w:val="30"/>
        <w:lang w:val="zh-CN" w:eastAsia="zh-CN" w:bidi="zh-CN"/>
      </w:rPr>
    </w:lvl>
    <w:lvl w:ilvl="1">
      <w:start w:val="0"/>
      <w:numFmt w:val="bullet"/>
      <w:lvlText w:val="•"/>
      <w:lvlJc w:val="left"/>
      <w:pPr>
        <w:ind w:left="1842" w:hanging="322"/>
      </w:pPr>
      <w:rPr>
        <w:rFonts w:hint="default"/>
        <w:lang w:val="zh-CN" w:eastAsia="zh-CN" w:bidi="zh-CN"/>
      </w:rPr>
    </w:lvl>
    <w:lvl w:ilvl="2">
      <w:start w:val="0"/>
      <w:numFmt w:val="bullet"/>
      <w:lvlText w:val="•"/>
      <w:lvlJc w:val="left"/>
      <w:pPr>
        <w:ind w:left="2605" w:hanging="322"/>
      </w:pPr>
      <w:rPr>
        <w:rFonts w:hint="default"/>
        <w:lang w:val="zh-CN" w:eastAsia="zh-CN" w:bidi="zh-CN"/>
      </w:rPr>
    </w:lvl>
    <w:lvl w:ilvl="3">
      <w:start w:val="0"/>
      <w:numFmt w:val="bullet"/>
      <w:lvlText w:val="•"/>
      <w:lvlJc w:val="left"/>
      <w:pPr>
        <w:ind w:left="3367" w:hanging="322"/>
      </w:pPr>
      <w:rPr>
        <w:rFonts w:hint="default"/>
        <w:lang w:val="zh-CN" w:eastAsia="zh-CN" w:bidi="zh-CN"/>
      </w:rPr>
    </w:lvl>
    <w:lvl w:ilvl="4">
      <w:start w:val="0"/>
      <w:numFmt w:val="bullet"/>
      <w:lvlText w:val="•"/>
      <w:lvlJc w:val="left"/>
      <w:pPr>
        <w:ind w:left="4130" w:hanging="322"/>
      </w:pPr>
      <w:rPr>
        <w:rFonts w:hint="default"/>
        <w:lang w:val="zh-CN" w:eastAsia="zh-CN" w:bidi="zh-CN"/>
      </w:rPr>
    </w:lvl>
    <w:lvl w:ilvl="5">
      <w:start w:val="0"/>
      <w:numFmt w:val="bullet"/>
      <w:lvlText w:val="•"/>
      <w:lvlJc w:val="left"/>
      <w:pPr>
        <w:ind w:left="4893" w:hanging="322"/>
      </w:pPr>
      <w:rPr>
        <w:rFonts w:hint="default"/>
        <w:lang w:val="zh-CN" w:eastAsia="zh-CN" w:bidi="zh-CN"/>
      </w:rPr>
    </w:lvl>
    <w:lvl w:ilvl="6">
      <w:start w:val="0"/>
      <w:numFmt w:val="bullet"/>
      <w:lvlText w:val="•"/>
      <w:lvlJc w:val="left"/>
      <w:pPr>
        <w:ind w:left="5655" w:hanging="322"/>
      </w:pPr>
      <w:rPr>
        <w:rFonts w:hint="default"/>
        <w:lang w:val="zh-CN" w:eastAsia="zh-CN" w:bidi="zh-CN"/>
      </w:rPr>
    </w:lvl>
    <w:lvl w:ilvl="7">
      <w:start w:val="0"/>
      <w:numFmt w:val="bullet"/>
      <w:lvlText w:val="•"/>
      <w:lvlJc w:val="left"/>
      <w:pPr>
        <w:ind w:left="6418" w:hanging="322"/>
      </w:pPr>
      <w:rPr>
        <w:rFonts w:hint="default"/>
        <w:lang w:val="zh-CN" w:eastAsia="zh-CN" w:bidi="zh-CN"/>
      </w:rPr>
    </w:lvl>
    <w:lvl w:ilvl="8">
      <w:start w:val="0"/>
      <w:numFmt w:val="bullet"/>
      <w:lvlText w:val="•"/>
      <w:lvlJc w:val="left"/>
      <w:pPr>
        <w:ind w:left="7180" w:hanging="322"/>
      </w:pPr>
      <w:rPr>
        <w:rFonts w:hint="default"/>
        <w:lang w:val="zh-CN" w:eastAsia="zh-CN" w:bidi="zh-C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BodyText" w:type="paragraph">
    <w:name w:val="Body Text"/>
    <w:basedOn w:val="Normal"/>
    <w:uiPriority w:val="1"/>
    <w:qFormat/>
    <w:pPr/>
    <w:rPr>
      <w:rFonts w:ascii="仿宋" w:hAnsi="仿宋" w:eastAsia="仿宋" w:cs="仿宋"/>
      <w:sz w:val="32"/>
      <w:szCs w:val="32"/>
      <w:lang w:val="zh-CN" w:eastAsia="zh-CN" w:bidi="zh-CN"/>
    </w:rPr>
  </w:style>
  <w:style w:styleId="Heading1" w:type="paragraph">
    <w:name w:val="Heading 1"/>
    <w:basedOn w:val="Normal"/>
    <w:uiPriority w:val="1"/>
    <w:qFormat/>
    <w:pPr>
      <w:ind w:left="763"/>
      <w:outlineLvl w:val="1"/>
    </w:pPr>
    <w:rPr>
      <w:rFonts w:ascii="仿宋" w:hAnsi="仿宋" w:eastAsia="仿宋" w:cs="仿宋"/>
      <w:b/>
      <w:bCs/>
      <w:sz w:val="32"/>
      <w:szCs w:val="32"/>
      <w:lang w:val="zh-CN" w:eastAsia="zh-CN" w:bidi="zh-CN"/>
    </w:rPr>
  </w:style>
  <w:style w:styleId="ListParagraph" w:type="paragraph">
    <w:name w:val="List Paragraph"/>
    <w:basedOn w:val="Normal"/>
    <w:uiPriority w:val="1"/>
    <w:qFormat/>
    <w:pPr>
      <w:spacing w:before="190"/>
      <w:ind w:left="1082" w:hanging="323"/>
    </w:pPr>
    <w:rPr>
      <w:rFonts w:ascii="仿宋" w:hAnsi="仿宋" w:eastAsia="仿宋" w:cs="仿宋"/>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2022-06-16T08:39:11Z</dcterms:created>
  <dcterms:modified xsi:type="dcterms:W3CDTF">2022-06-16T08:39:11Z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WPS 文字</vt:lpwstr>
  </property>
  <property fmtid="{D5CDD505-2E9C-101B-9397-08002B2CF9AE}" pid="4" name="LastSaved">
    <vt:filetime>2022-06-16T00:00:00Z</vt:filetime>
  </property>
</Properties>
</file>